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19" w:rsidRPr="00F96219" w:rsidRDefault="00F96219" w:rsidP="00F9621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6"/>
          <w:szCs w:val="46"/>
          <w:lang w:eastAsia="ru-RU"/>
        </w:rPr>
      </w:pPr>
      <w:r w:rsidRPr="00F96219">
        <w:rPr>
          <w:rFonts w:ascii="inherit" w:eastAsia="Times New Roman" w:hAnsi="inherit" w:cs="Arial"/>
          <w:color w:val="333333"/>
          <w:sz w:val="46"/>
          <w:szCs w:val="46"/>
          <w:lang w:eastAsia="ru-RU"/>
        </w:rPr>
        <w:t>О порядке взимания государственной пошлины в сфере оборота оружия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Размеры государственной пошлины, уплачиваемой с 1 октября 2017 г. за совершение юридически значимых действий в сфере оборота оружия, устанавливаются Федеральными законами от 1 июля 2017 г. № 145-ФЗ «О внесении изменений в статью 333 Налогового кодекса Российской Федерации» и № 151-ФЗ «О внесении изменений в Федеральный закон «Об оружии».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Порядок и сроки уплаты государственной пошлины за совершение юридически значимых действий, определенных главой 25.3 Кодекса, установлен статьей 333.18 Кодекса.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 обращении за совершением юридически значимых действий в сфере оборота оружия государственная пошлина уплачивается до подачи заявлений и (или) документов на совершение таких действий либо до подачи соответствующих документов (подпункт 6 пункта 1 статьи 333 Кодекса).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Государственная пошлина уплачивается по месту совершения юридически значимого действия в наличной или безналичной </w:t>
      </w:r>
      <w:proofErr w:type="gramStart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формах</w:t>
      </w:r>
      <w:proofErr w:type="gramEnd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(пункт 3 статьи 333 Кодекса).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Факт уплаты государственной пошлины плательщиком в наличной форме подтверждается либо квитанцией установленной формы, выдаваемой плательщику банком, либо квитанцией, выдаваемой плательщику должностным лицом или кассой органа, в который производилась оплата.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Факт уплаты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(далее - ГИС ГМП), предусмотренной Федеральным законом от 27 июля 2010 г. № 210-ФЗ «Об организации представления государственных и муниципальных услуг».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 наличии информации об уплате государственной пошлины, содержащейся в ГИС ГМП, дополнительное подтверждение уплаты плательщиком государственной пошлины не требуется.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целях стимулирования представления государственных услуг в электронной форме пунктом 4 статьи 333 Кодекса предусмотрено, что размеры государственной пошлины, установленные главой 25.3 Кодекса, за совершение юридически значимых действий в отношении физических лиц, до 1 января 2019 г. применяются с учетом коэффициента 0,7, (то есть со скидкой в 30%) в случае подачи заявления о совершении указанных действий и уплаты соответствующей государственной</w:t>
      </w:r>
      <w:proofErr w:type="gramEnd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пошлины с использованием единого портала государственных и муниципальных услуг, региональных порталов </w:t>
      </w: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государственных и муниципальных услуг и иных порталов, интегрированных единой системой идентификац</w:t>
      </w:r>
      <w:proofErr w:type="gramStart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ии и ау</w:t>
      </w:r>
      <w:proofErr w:type="gramEnd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тентификации.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Плательщик имеет возможность исполнить обязанность по уплате налогов, сборов и иных платежей путем представления в банк соответствующего поручения на перечисление денежных </w:t>
      </w:r>
      <w:proofErr w:type="gramStart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средств</w:t>
      </w:r>
      <w:proofErr w:type="gramEnd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как на бумажном носителе, так и в электронном виде по сети Интернет либо путем внесения денежных средств через банкоматы и платежные терминалы кредитной организации.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Кодексом не предусмотрена уплата государственной пошлины через юридических лиц, не являющихся банками, в том числе через платежных агентов и банковских платежных агентов, а также через платежные терминалы платежных агентов.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Уплата сбора, в частности, государственной пошлины, за плательщика сбора может осуществляться иным лицом, в том числе представителем плательщика сбора (пункты 1 и 8 статьи 45 Кодекса).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случае</w:t>
      </w:r>
      <w:proofErr w:type="gramStart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</w:t>
      </w:r>
      <w:proofErr w:type="gramEnd"/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если плательщик сбора (государственной пошлины) не имеет возможности самостоятельно уплатить данный сбор, то согласно статье 26 Кодекса плательщик сбора (государственной пошлины) может участвовать в отношениях, регулируемых законодательством о налогах и сборах через законного или уполномоченного представителя, если иное не предусмотрено Кодексом (пункт 1 статьи 26 Кодекса). Полномочия представителя должны быть документально подтверждены в соответствии с Кодексом и иными федеральными законами (пункт 3 статьи 26 Кодекса).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Законными представителями плательщика сбора (государственной пошлины) - организации признаются лица, уполномоченные представлять указанную организацию на основании закона или ее учредительных документов (статья 27 Кодекса).</w:t>
      </w: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Законными представителями плательщика сбора (государственной пошлины) -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 уплате государственной пошлины за совершение вышеуказанных действий представителем или иным лицом за плательщика государственной пошлины, в платежном документе на перечисление суммы государственной пошлины в бюджет должно быть указано, что представитель или иное лицо действуют от имени ее плательщика.</w:t>
      </w:r>
    </w:p>
    <w:p w:rsid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  <w:sectPr w:rsidR="00F96219" w:rsidSect="00CE3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tbl>
      <w:tblPr>
        <w:tblW w:w="107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2880"/>
        <w:gridCol w:w="2880"/>
        <w:gridCol w:w="3195"/>
      </w:tblGrid>
      <w:tr w:rsidR="00F96219" w:rsidRPr="00F96219" w:rsidTr="00F96219">
        <w:trPr>
          <w:trHeight w:val="360"/>
        </w:trPr>
        <w:tc>
          <w:tcPr>
            <w:tcW w:w="10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для ЦЛРР Управления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Ростовской области</w:t>
            </w:r>
          </w:p>
        </w:tc>
      </w:tr>
      <w:tr w:rsidR="00F96219" w:rsidRPr="00F96219" w:rsidTr="00F96219">
        <w:trPr>
          <w:trHeight w:val="270"/>
        </w:trPr>
        <w:tc>
          <w:tcPr>
            <w:tcW w:w="10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F96219" w:rsidRPr="00F96219" w:rsidTr="00F96219">
        <w:trPr>
          <w:trHeight w:val="420"/>
        </w:trPr>
        <w:tc>
          <w:tcPr>
            <w:tcW w:w="10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физических лиц</w:t>
            </w:r>
          </w:p>
        </w:tc>
      </w:tr>
      <w:tr w:rsidR="00F96219" w:rsidRPr="00F96219" w:rsidTr="00F96219">
        <w:trPr>
          <w:trHeight w:val="690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лицензии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(2000 т.р.)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продление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F96219" w:rsidRPr="00F96219" w:rsidTr="00F96219">
        <w:trPr>
          <w:trHeight w:val="540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ЛГа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ЛКГ,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180 108 0744 10 100 20 110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180 108 0477 40 100 20 110</w:t>
            </w:r>
          </w:p>
        </w:tc>
      </w:tr>
      <w:tr w:rsidR="00F96219" w:rsidRPr="00F96219" w:rsidTr="00F96219">
        <w:trPr>
          <w:trHeight w:val="630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лицензии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(500 р.)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продление (500 р.)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F96219" w:rsidRPr="00F96219" w:rsidTr="00F96219">
        <w:trPr>
          <w:trHeight w:val="315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ЛОа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180 108 0744 20 100 20 110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180 108 0744 20 100 40 110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180 108 0744 40 100 20 110</w:t>
            </w:r>
          </w:p>
        </w:tc>
      </w:tr>
      <w:tr w:rsidR="00F96219" w:rsidRPr="00F96219" w:rsidTr="00F96219">
        <w:trPr>
          <w:trHeight w:val="315"/>
        </w:trPr>
        <w:tc>
          <w:tcPr>
            <w:tcW w:w="10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физических лиц</w:t>
            </w:r>
          </w:p>
        </w:tc>
      </w:tr>
      <w:tr w:rsidR="00F96219" w:rsidRPr="00F96219" w:rsidTr="00F96219">
        <w:trPr>
          <w:trHeight w:val="630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разреш</w:t>
            </w: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(500 р.)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продление (500 р.)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F96219" w:rsidRPr="00F96219" w:rsidTr="00F96219">
        <w:trPr>
          <w:trHeight w:val="810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РОХа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РВГ,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РНГа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РСОа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РКСа</w:t>
            </w:r>
            <w:proofErr w:type="spellEnd"/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180 108 0744 50 100 20 110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180 108 0744 50 100 40 110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180 108 0744 40 100 20 110</w:t>
            </w:r>
          </w:p>
        </w:tc>
      </w:tr>
      <w:tr w:rsidR="00F96219" w:rsidRPr="00F96219" w:rsidTr="00F96219">
        <w:trPr>
          <w:trHeight w:val="315"/>
        </w:trPr>
        <w:tc>
          <w:tcPr>
            <w:tcW w:w="10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частного охранника</w:t>
            </w:r>
          </w:p>
        </w:tc>
      </w:tr>
      <w:tr w:rsidR="00F96219" w:rsidRPr="00F96219" w:rsidTr="00F96219">
        <w:trPr>
          <w:trHeight w:val="615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(дубликат) (2000 р.)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продление (650 р.)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переоформление (350 р.)</w:t>
            </w:r>
          </w:p>
        </w:tc>
      </w:tr>
      <w:tr w:rsidR="00F96219" w:rsidRPr="00F96219" w:rsidTr="00F96219">
        <w:trPr>
          <w:trHeight w:val="360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УЧО</w:t>
            </w:r>
          </w:p>
        </w:tc>
        <w:tc>
          <w:tcPr>
            <w:tcW w:w="895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180 108 0719 00 11 000 110</w:t>
            </w:r>
          </w:p>
        </w:tc>
      </w:tr>
      <w:tr w:rsidR="00F96219" w:rsidRPr="00F96219" w:rsidTr="00F96219">
        <w:trPr>
          <w:trHeight w:val="450"/>
        </w:trPr>
        <w:tc>
          <w:tcPr>
            <w:tcW w:w="10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F96219" w:rsidRPr="00F96219" w:rsidTr="00F96219">
        <w:trPr>
          <w:trHeight w:val="330"/>
        </w:trPr>
        <w:tc>
          <w:tcPr>
            <w:tcW w:w="10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юридических лиц</w:t>
            </w:r>
          </w:p>
        </w:tc>
      </w:tr>
      <w:tr w:rsidR="00F96219" w:rsidRPr="00F96219" w:rsidTr="00F96219">
        <w:trPr>
          <w:trHeight w:val="615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лицензии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(2000 т.р.)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продление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F96219" w:rsidRPr="00F96219" w:rsidTr="00F96219">
        <w:trPr>
          <w:trHeight w:val="315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ЛПР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180 108 0744 70 100 70 110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180 108 0744 40 100 70110</w:t>
            </w:r>
          </w:p>
        </w:tc>
      </w:tr>
      <w:tr w:rsidR="00F96219" w:rsidRPr="00F96219" w:rsidTr="00F96219">
        <w:trPr>
          <w:trHeight w:val="1785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лицензии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выдача (7500 т.р.)</w:t>
            </w: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2. выдача дубликата лицензии (750 р.)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продление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переоформление (3500 т.р.)</w:t>
            </w:r>
          </w:p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переоформление (750 р.)</w:t>
            </w:r>
          </w:p>
        </w:tc>
      </w:tr>
      <w:tr w:rsidR="00F96219" w:rsidRPr="00F96219" w:rsidTr="00F96219">
        <w:trPr>
          <w:trHeight w:val="540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ЛЧО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1.180 108 0708 10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300110 2. 180 108 0708 10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700110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180 108 0708 10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800 110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1.180 108 0708 10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400110 2. 180 108 0708 10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500 110</w:t>
            </w:r>
          </w:p>
        </w:tc>
      </w:tr>
      <w:tr w:rsidR="00F96219" w:rsidRPr="00F96219" w:rsidTr="00F96219">
        <w:trPr>
          <w:trHeight w:val="1215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лицензии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(7500 т.р.)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продление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переоформление (3500 т.р.)</w:t>
            </w:r>
          </w:p>
        </w:tc>
      </w:tr>
      <w:tr w:rsidR="00F96219" w:rsidRPr="00F96219" w:rsidTr="00F96219">
        <w:trPr>
          <w:trHeight w:val="315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ЛТО, ЛТП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180 108 0708 10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500 110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180 108 0708 10 </w:t>
            </w: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400 110</w:t>
            </w:r>
          </w:p>
        </w:tc>
      </w:tr>
      <w:tr w:rsidR="00F96219" w:rsidRPr="00F96219" w:rsidTr="00F96219">
        <w:trPr>
          <w:trHeight w:val="315"/>
        </w:trPr>
        <w:tc>
          <w:tcPr>
            <w:tcW w:w="107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Разрешения юридических лиц</w:t>
            </w:r>
          </w:p>
        </w:tc>
      </w:tr>
      <w:tr w:rsidR="00F96219" w:rsidRPr="00F96219" w:rsidTr="00F96219">
        <w:trPr>
          <w:trHeight w:val="630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разрешения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выдача (500 р.)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продление (500 р.)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переоформление (250 р.)</w:t>
            </w:r>
          </w:p>
        </w:tc>
      </w:tr>
      <w:tr w:rsidR="00F96219" w:rsidRPr="00F96219" w:rsidTr="00F96219">
        <w:trPr>
          <w:trHeight w:val="825"/>
        </w:trPr>
        <w:tc>
          <w:tcPr>
            <w:tcW w:w="17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РСЛа</w:t>
            </w:r>
            <w:proofErr w:type="spellEnd"/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РТЮ, РХ, РХТ, РФ, РХИ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180 108 0744 50 100 70 110</w:t>
            </w:r>
          </w:p>
        </w:tc>
        <w:tc>
          <w:tcPr>
            <w:tcW w:w="28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180 108 0744 50100 50 110</w:t>
            </w:r>
          </w:p>
        </w:tc>
        <w:tc>
          <w:tcPr>
            <w:tcW w:w="31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219" w:rsidRPr="00F96219" w:rsidRDefault="00F96219" w:rsidP="00F962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180 108 0744 40 100 70 110</w:t>
            </w:r>
          </w:p>
        </w:tc>
      </w:tr>
    </w:tbl>
    <w:p w:rsidR="00F96219" w:rsidRPr="00F96219" w:rsidRDefault="00F96219" w:rsidP="00F962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F96219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CE3F2B" w:rsidRDefault="00CE3F2B"/>
    <w:sectPr w:rsidR="00CE3F2B" w:rsidSect="00F962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219"/>
    <w:rsid w:val="0007782C"/>
    <w:rsid w:val="007046BC"/>
    <w:rsid w:val="00B35905"/>
    <w:rsid w:val="00CE3F2B"/>
    <w:rsid w:val="00F9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2B"/>
  </w:style>
  <w:style w:type="paragraph" w:styleId="2">
    <w:name w:val="heading 2"/>
    <w:basedOn w:val="a"/>
    <w:link w:val="20"/>
    <w:uiPriority w:val="9"/>
    <w:qFormat/>
    <w:rsid w:val="00F96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2018-07-02T11:35:00Z</dcterms:created>
  <dcterms:modified xsi:type="dcterms:W3CDTF">2018-07-02T11:35:00Z</dcterms:modified>
</cp:coreProperties>
</file>