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Отчет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городского поселения В.О. Малышевой 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городского поселения за 9 месяцев 2023 года.</w:t>
      </w:r>
    </w:p>
    <w:p w:rsidR="00AB6A30" w:rsidRDefault="00AB6A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AB6A30" w:rsidRDefault="00AB6A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 xml:space="preserve"> городского поселения!</w:t>
      </w:r>
    </w:p>
    <w:p w:rsidR="00AB6A30" w:rsidRDefault="00AB6A30">
      <w:pPr>
        <w:pStyle w:val="normal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B6A30" w:rsidRDefault="00D565A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Предоставляем вашему вниманию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 деятельности муниципалитета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 9 месяцев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целях возможности дальнейшего обсуждения итогов проделанной работы предлагаем вам  ознакомиться с результатами, достигнутыми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за отчетный период.</w:t>
      </w:r>
    </w:p>
    <w:p w:rsidR="00AB6A30" w:rsidRDefault="00AB6A30">
      <w:pPr>
        <w:pStyle w:val="normal"/>
        <w:spacing w:after="0" w:line="240" w:lineRule="auto"/>
        <w:rPr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за  9 месяцев 2023 года</w:t>
      </w:r>
    </w:p>
    <w:p w:rsidR="00AB6A30" w:rsidRDefault="00D565A1">
      <w:pPr>
        <w:pStyle w:val="normal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за 9 месяцев 2023 года составило по доходам в сумме 93564,8 тыс. рублей  при плане на 2023 год 719579,7 тыс. рублей или 13,0 % к годовому плану доходов.  Налоговые и неналоговые доходы бюджета поселения исполнены в сумме 88427,2 тыс. рублей при плане 156538,6 тыс. рублей или 56,5 % к годовым плановым назначениям. В сравнении с аналогичным периодом прошлого года объем собственных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снизился на 1955,0 тыс. руб. или на 2,2 %.</w:t>
      </w:r>
    </w:p>
    <w:p w:rsidR="00AB6A30" w:rsidRDefault="00AB6A3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3190"/>
        <w:gridCol w:w="3191"/>
      </w:tblGrid>
      <w:tr w:rsidR="00AB6A30">
        <w:tc>
          <w:tcPr>
            <w:tcW w:w="3190" w:type="dxa"/>
          </w:tcPr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Поступление собственных доходов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 тыс.руб.</w:t>
            </w:r>
          </w:p>
        </w:tc>
        <w:tc>
          <w:tcPr>
            <w:tcW w:w="3190" w:type="dxa"/>
          </w:tcPr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Поступление собственных доходов за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 тыс.руб.</w:t>
            </w:r>
          </w:p>
        </w:tc>
        <w:tc>
          <w:tcPr>
            <w:tcW w:w="3191" w:type="dxa"/>
          </w:tcPr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B6A30">
        <w:tc>
          <w:tcPr>
            <w:tcW w:w="3190" w:type="dxa"/>
          </w:tcPr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88427,2</w:t>
            </w:r>
          </w:p>
        </w:tc>
        <w:tc>
          <w:tcPr>
            <w:tcW w:w="3190" w:type="dxa"/>
          </w:tcPr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90382,2</w:t>
            </w:r>
          </w:p>
        </w:tc>
        <w:tc>
          <w:tcPr>
            <w:tcW w:w="3191" w:type="dxa"/>
          </w:tcPr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1955,0</w:t>
            </w:r>
          </w:p>
        </w:tc>
      </w:tr>
    </w:tbl>
    <w:p w:rsidR="00AB6A30" w:rsidRDefault="00D565A1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Налоговых 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плане на 2023 г. 145096,9 тыс. руб. поступило 78150,1 тыс. руб., что на 7648,2 тыс. руб. меньше, чем за  аналогичный период прошлого года. По сравнению с  аналогичным периодом 2023 года увеличилось поступление налога на доходы физических лиц на 5536,7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акцизов на 111,2 тыс.руб., Снизилось по сравнению с  2022 г поступление  единого сельскохозяйственного налога на 3878,9 тыс.руб.,  налога на имущество физических лиц на 297,8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транспортного налога на 2315,5 тыс.руб., земельного налога на 6797,4 тыс.руб.</w:t>
      </w:r>
    </w:p>
    <w:p w:rsidR="00AB6A30" w:rsidRDefault="00D565A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Неналоговые 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получены  в объеме 10277,1 тыс. руб. при плане на  2023 год 11441,7 тыс. руб., что на 5693,2 тыс. руб. выше поступлений 2022 года.  </w:t>
      </w:r>
    </w:p>
    <w:p w:rsidR="00AB6A30" w:rsidRDefault="00AB6A30">
      <w:pPr>
        <w:pStyle w:val="normal"/>
        <w:spacing w:after="0" w:line="240" w:lineRule="auto"/>
        <w:rPr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за  9 месяцев 2023 года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запланированных расходов в 2023 году составил 776424,7 тыс. рублей, кассовое исполнение за 9 месяцев 2023– 135057,7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руб., составляет – 17,4 %.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«Общегосударственные расходы»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40334,0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кассовое исполнение –25087,1 тыс.рублей (62,2%) Средства направлены на содержание аппарата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поселения, на обеспечение деятельности муниципального казенного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поселения, уплату налогов и иных платежей, судебных издержек, на обеспечение полномочий по осуществлению внешнего муниципального финансового контроля, на мероприятия в рамках подпрограммы «Управление объектами недвижимого имущества, находящегося в муниципальной собственности», на мероприятия в рамках программы «Муниципальная политика», мероприятия в рамках программы «Обеспечение общественного порядка и противодействия преступности». 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 4625,4 тыс. рублей, кассовое исполнение –3206,6 тыс. руб. что составило -69,33 %. Средства направлены на содержание аварийно-спасательных  формирований.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«Национальная экономика»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 43960,7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 кассовое исполнение – 18418,7 тыс.рублей , что составило -41,9 %.</w:t>
      </w:r>
    </w:p>
    <w:p w:rsidR="00AB6A30" w:rsidRDefault="00D565A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подразделу «Дорожное хозяйство» в запланировано 43865,8 тыс. рублей, исполнение  18335,3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 (41,8%). Средства направлены на содержание и ремонт автомобильных дорог, нанесение и восстановление дорожной разметки, техническое обслуживание светофорных объектов. 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подразделу «Другие вопросы в области национальной экономики» средства направлены на мероприятия по оформлению и регистрации права муниципальной собственности на земельные участки и на мероприятия по вопросам развития малого и среднего предпринимательства в сумме 94,9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исполнение -83,4тыс.рублей (87,9%).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разделу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535777,4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 кассовое исполнение  74804,2 тыс.рублей (13,96%)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Расходы по жилищному хозяйству запланированы 4518,7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израсходовано  271,8 тыс. руб., что составляет (6,1 %)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Средства направлены на взносы на капитальный ремонт общего имущества в части муниципальных жилых и нежилых помещений.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Расходы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коммунальное хозяйство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запланированы в сумме 495351,6 тыс. рублей, кассовое исполнение  52575,9 тыс. рублей, что составляет (10,6%)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направлены на возмещение предприятиям ЖКХ части платы граждан за коммунальные услуги предусмотрены средства областного и местного бюджета, на субсидию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ППЖКХ» на финансовое обеспечении затрат до установления тарифа на водоснабжение и водоотведения, на оплату исполнительного листа по решениям суда.</w:t>
      </w:r>
      <w:proofErr w:type="gramEnd"/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Расходы на мероприятия по «Благоустройству» запланированы в сумме 35907,1 тыс. руб., кассовое исполнение 21953,5 тыс. рублей, что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(61,1%.) Расходы на субсидию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ППЖКХ» на мероприятия по «Благоустройству парка».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Средства направлены на уличное освещение, приобретение материалов для обслуживания и ремонта сетей уличного освещения, на оплату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контракта, комплекс работ по обеспечению бактериологической безопасности в общественных местах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акарицидная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по клещу), сбор случайного мусора (летающий), услуги по обращению с животными без владельцев на территории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мероприятия по выполнению комплекса работ по благоустройству (выкашивание сорной растительности, валка и обрезка аварийно-опасных деревьев на территории поселения, посадка однолетников (цветов) и уход за ними, содержание гражданских и мемориальных кладбищ). Текущий ремонт памятников, ремонт газовой горелки в п. Экспериментальный. 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По разделу «Образование» запланировано 7,5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исполнение составило 7,5  (100,0%).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разделу «Культура и кинематография» запланировано 18516,8 тыс. рублей, кассовое исполнение  13356,2 тыс. рублей, что составило 72,0 % и направлены на субсидии бюджетным учреждениям культуры  на выполнение муниципального задания расходы на проведение культурно-массовых мероприятий и социально значимых акций.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разделу «Социальная политика» запланировано 100,0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(выплата муниципальной пенсии), кассовое исполнение 68,1 тыс.рублей.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разделу «Физическая культура и спорт» запланировано 133102,9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ублей, исполнение составило 112,4 тыс.рублей.  Проведен ремонт спортивных площадок, закуплены материалы к тренажерам.      </w:t>
      </w:r>
    </w:p>
    <w:p w:rsidR="00AB6A30" w:rsidRDefault="00AB6A30">
      <w:pPr>
        <w:pStyle w:val="normal"/>
        <w:spacing w:after="0" w:line="240" w:lineRule="auto"/>
        <w:rPr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AB6A30" w:rsidRDefault="00D565A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осуществления полномочий по распоряжению земельными участками, государственная собственность на которые не разграничена, заключено 42 договора аренды, 49 договоров купли-продажи, 62 дополнительных соглашения к договорам аренды земельных участков, 3 соглашения о перераспределении земельных участков.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Предоставлено бесплатно в собственность многодетным семьям 11 земельным участков.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Предоставлено в собственность бесплатно гражданам в рамках реализации закона «о гаражной амнистии» 32 земельных участка.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37 аукционов по предоставлению земельных участков.</w:t>
      </w:r>
    </w:p>
    <w:p w:rsidR="00AB6A30" w:rsidRDefault="00D565A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Оформлено в муниципальную собственность: 5 газопроводов,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поселения, ранее являвшихся бесхозяйными (газопровод среднего давления с ГРПШ г. Зерноград, ул. Весенняя, д. 5, газопровод низкого давления  г. Зерноград, пер.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Боричевского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жилым домам 8, 10, 12, 18, газопровод среднего давления с ГРПШ  г. Зерноград, ул. им. Нестерова, 1, газопровод низкого давления  г. Зерноград, ул. им. Нестерова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подземный газопровод высокого давления с ГРПШ х. Ракитный,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13).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 автомобильных дорог: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Российская Федерация,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Дубки, ул. Береста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Зерноград, ул. им. Марголина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Зерноград, ул. Любимая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Комсомольский, ул. Фурманова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Кленовый, пер. Новый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Шоссейный, ул. Новая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Экспериментальный, ул. Гагарина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Шоссейный, ул. Вишневая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Экспериментальный, ул. Садовая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п. Экспериментальный, ул. Степная</w:t>
      </w:r>
    </w:p>
    <w:p w:rsidR="00AB6A30" w:rsidRDefault="00D565A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Поставлены на учет, как бесхозяйные, в Управлении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РО, в целях дальнейшего оформления права муниципальной собственности: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насосная станция г. Зерноград, ул. Машиностроителей, 9, водопроводная сеть г. Зерноград, ул. 50-летия Победы, 40, 42, 44, газопровод низкого давления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г. Зерноград, ул. Дачная - ул. Ботаническая, асфальтобетонная дорога г. Зерноград, ул. Машиностроителей, 7,9, асфальтобетонная дорога п. Экспериментальный, 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Шоссейная, газопровод с ГРПШ г. Зерноград, ул. им. Гагарина, линия электропередач п. Экспериментальный, водопроводная сеть п. Дубки,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B6A30" w:rsidRDefault="00AB6A30">
      <w:pPr>
        <w:pStyle w:val="normal"/>
        <w:spacing w:after="0" w:line="240" w:lineRule="auto"/>
        <w:rPr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Архитектурно-градостроительная деятельность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полномочий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сфере архитектурно-градостроительной деятельности за 9 месяцев 2023 года проделан следующий объем работ:</w:t>
      </w:r>
    </w:p>
    <w:p w:rsidR="00AB6A30" w:rsidRDefault="00D565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заявлений и обращений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420</w:t>
      </w:r>
    </w:p>
    <w:p w:rsidR="00AB6A30" w:rsidRDefault="00D565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разрешений на строительство (реконструкцию) объектов капитального строительства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AB6A30" w:rsidRDefault="00D565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Уведомлений о соответствии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 30</w:t>
      </w:r>
    </w:p>
    <w:p w:rsidR="00AB6A30" w:rsidRDefault="00D565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разрешений на ввод в эксплуатацию объектов капитального строительства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AB6A30" w:rsidRDefault="00D565A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Подготовлено градостроительных планов земельных участков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</w:p>
    <w:p w:rsidR="00AB6A30" w:rsidRDefault="00D565A1">
      <w:pPr>
        <w:pStyle w:val="normal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Выдано решений о согласовании переустройства и (или) перепланировки жилых и нежилых помещений 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AB6A30" w:rsidRDefault="00D565A1">
      <w:pPr>
        <w:pStyle w:val="normal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уведомлений о переводе жилых помещений в нежилых и жилых помещениях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нежилые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актов приемки помещений после переустройства, 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перепланировки 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постановлений об утверждении схем расположения земельных участков на кадастровом плане территорий 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Подготовлено постановлений об установлении вида разрешенного использования земельного участка 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Подготовлено постановлений о присвоении адреса объектам недвижимости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Проведено публичных слушаний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Подготовлено актов освидетельствования проведения основных работ по строительству или реконструкции объекта индивидуального жилищного строительства (материнский капитал)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Подготовлено соглашений о сотрудничестве по благоустройству территорий прилегающих к земельным участкам, находящимся в собственности, пользовании или аренде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Подготовлено 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Подготовлено заключений о возможности размещения объектов без предоставления земельных участков и установления сервитутов на территории Ростовской области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Размещено уведомлений о планируемом сносе объекта капитального строительства в информационной системе обеспечения градостроительной деятельности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</w:p>
    <w:p w:rsidR="00AB6A30" w:rsidRDefault="00D565A1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Размещено уведомлений о завершении сноса объекта капитального строительства в информационной системе обеспечения градостроительной деятельности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</w:p>
    <w:p w:rsidR="00AB6A30" w:rsidRDefault="00AB6A30">
      <w:pPr>
        <w:pStyle w:val="normal"/>
        <w:spacing w:after="0" w:line="240" w:lineRule="auto"/>
        <w:jc w:val="both"/>
        <w:rPr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931823" w:rsidRDefault="00D565A1" w:rsidP="0093182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на благоустройство городского поселения и выполнение мероприятий жилищно-коммунального хозяйства составляют наибольшую величину. Это самые сложные сферы с учетом того, что в 2023 году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ПП ЖКХ» стало гарантирующим поставщиком услуг водоснабжения и водоотведения для населения города, хуторов и поселков нашего поселения.  Качество жизни населения, создание комфортных условий проживания зависят во многом от работ, выполненных в  этих сферах. Итак, расходы на благоустройство и ЖКХ в цифрах выглядят следующим образом:</w:t>
      </w:r>
    </w:p>
    <w:p w:rsidR="00931823" w:rsidRDefault="00931823" w:rsidP="00931823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823" w:rsidRDefault="00931823" w:rsidP="00931823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30" w:rsidRDefault="00D565A1" w:rsidP="00931823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Коммунальное хозяйство</w:t>
      </w:r>
    </w:p>
    <w:p w:rsidR="00AB6A30" w:rsidRDefault="00AB6A3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7" w:type="dxa"/>
        <w:tblLayout w:type="fixed"/>
        <w:tblLook w:val="0400"/>
      </w:tblPr>
      <w:tblGrid>
        <w:gridCol w:w="7406"/>
        <w:gridCol w:w="2517"/>
      </w:tblGrid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работ по коммунальному хозяйству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газоснабжения по ул. им. Шукшина.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11534,53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обслуживание объектов газовой сети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272386,92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задолженности по исполнительному листу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4150523,08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ППЖКХ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35065700,00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газ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борудования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7461,59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газовой горелки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366971,83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Зерноградское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ППЖКХ» на финансовое обеспечение затрат до получения тарифа на ХВ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энергия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35065700,00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кабеля по ул. им. Чкалова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345430,78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расходов (субсидия за коммунальные услуги) средства областного и местного бюджетов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17 461 100</w:t>
            </w:r>
          </w:p>
        </w:tc>
      </w:tr>
      <w:tr w:rsidR="00AB6A30">
        <w:trPr>
          <w:trHeight w:val="20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92746808,73</w:t>
            </w:r>
          </w:p>
        </w:tc>
      </w:tr>
    </w:tbl>
    <w:p w:rsidR="00AB6A30" w:rsidRDefault="00AB6A3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и уличное освещение</w:t>
      </w:r>
    </w:p>
    <w:p w:rsidR="00AB6A30" w:rsidRDefault="00AB6A3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1550" w:type="dxa"/>
        <w:tblInd w:w="-6" w:type="dxa"/>
        <w:tblLayout w:type="fixed"/>
        <w:tblLook w:val="0400"/>
      </w:tblPr>
      <w:tblGrid>
        <w:gridCol w:w="7478"/>
        <w:gridCol w:w="2036"/>
        <w:gridCol w:w="2036"/>
      </w:tblGrid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работ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Благоустройство и прочие мероприятия по благоустройству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территории, в т.ч.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3554758,96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 контейнерных площадок под ТКО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1597566,69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случайного мусора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1242891,91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Отлов бродячих собак</w:t>
            </w:r>
          </w:p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Отловлено - 281 особей бездомных животных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805329,70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за городскими туалетами,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биотуалетами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18975,60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территории земельного участка ул. им. Котлярова, 69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69104,00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140489,93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саженцев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Оплата уличного освещения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Зерноградскому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поселению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2785505,27</w:t>
            </w:r>
          </w:p>
        </w:tc>
      </w:tr>
      <w:tr w:rsidR="00AB6A30">
        <w:trPr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уличного освещения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832871,83</w:t>
            </w:r>
          </w:p>
        </w:tc>
        <w:tc>
          <w:tcPr>
            <w:tcW w:w="2036" w:type="dxa"/>
          </w:tcPr>
          <w:p w:rsidR="00AB6A30" w:rsidRDefault="00AB6A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Запасные части для ремонта уличного освещения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113658,45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19600,5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сервисный контракт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3669037,50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Восстановлены линии электропередач протяженностью более 500 м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</w:p>
          <w:p w:rsidR="00AB6A30" w:rsidRDefault="00AB6A3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Установлены дополнительные фонари уличного освещения п.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Специалистов</w:t>
            </w:r>
          </w:p>
          <w:p w:rsidR="00AB6A30" w:rsidRDefault="00AB6A3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парке «Культуры и отдыха» заменены вышедшие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строя уличные светильники в количестве 32 шт.</w:t>
            </w:r>
          </w:p>
          <w:p w:rsidR="00AB6A30" w:rsidRDefault="00AB6A3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 и устранены порывы кабельных линий вследствие строительства «Культуры и отдыха»</w:t>
            </w:r>
          </w:p>
          <w:p w:rsidR="00AB6A30" w:rsidRDefault="00AB6A3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A30" w:rsidRDefault="00D565A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заявок от граждан по уличному освещению на 01.11.2023г. – 62.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стоимости</w:t>
            </w:r>
          </w:p>
        </w:tc>
      </w:tr>
      <w:tr w:rsidR="00AB6A30">
        <w:trPr>
          <w:gridAfter w:val="1"/>
          <w:wAfter w:w="2036" w:type="dxa"/>
          <w:trHeight w:val="2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14918790,34</w:t>
            </w:r>
          </w:p>
        </w:tc>
      </w:tr>
    </w:tbl>
    <w:p w:rsidR="00AB6A30" w:rsidRDefault="00AB6A30">
      <w:pPr>
        <w:pStyle w:val="normal"/>
        <w:spacing w:after="0" w:line="240" w:lineRule="auto"/>
        <w:jc w:val="both"/>
        <w:rPr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дорог</w:t>
      </w:r>
    </w:p>
    <w:p w:rsidR="00AB6A30" w:rsidRDefault="00AB6A3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89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17"/>
        <w:gridCol w:w="2582"/>
      </w:tblGrid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светофорных объектов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</w:tcPr>
          <w:p w:rsidR="00AB6A30" w:rsidRDefault="00AB6A3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остановок от пыли и мусора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2028171,83</w:t>
            </w:r>
          </w:p>
        </w:tc>
      </w:tr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дорожной разметки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1690099,00</w:t>
            </w:r>
          </w:p>
        </w:tc>
      </w:tr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9127774.27</w:t>
            </w:r>
          </w:p>
        </w:tc>
      </w:tr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ул. им. Чкалова,</w:t>
            </w:r>
          </w:p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Красноармейская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2200000,00</w:t>
            </w:r>
          </w:p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2400000,00</w:t>
            </w:r>
          </w:p>
        </w:tc>
      </w:tr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51617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Отсыпка щебнем дорожного покрытия улиц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им. Лазо, им. Некрасова, им. Матросова,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Алтайская, Фруктовая, Комсомольская, Победы,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им. Осипенко, им. Пархоменко,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516171"/>
                <w:sz w:val="28"/>
                <w:szCs w:val="28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50-летия Победы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им Циолковского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Орджоникидзе.</w:t>
            </w:r>
            <w:proofErr w:type="gramEnd"/>
          </w:p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51617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Шоссейный ул. Специалистов, Молодежная, им. Пархоменко,  х. Ракитный ул. Заречная.</w:t>
            </w:r>
            <w:proofErr w:type="gramEnd"/>
          </w:p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5325205,59</w:t>
            </w:r>
          </w:p>
        </w:tc>
      </w:tr>
      <w:tr w:rsidR="00AB6A30">
        <w:trPr>
          <w:trHeight w:val="20"/>
        </w:trPr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A30" w:rsidRDefault="00D565A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30" w:rsidRDefault="00D565A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22771250,69</w:t>
            </w:r>
          </w:p>
        </w:tc>
      </w:tr>
    </w:tbl>
    <w:p w:rsidR="00AB6A30" w:rsidRDefault="00AB6A30">
      <w:pPr>
        <w:pStyle w:val="normal"/>
        <w:spacing w:after="0" w:line="240" w:lineRule="auto"/>
        <w:rPr>
          <w:sz w:val="28"/>
          <w:szCs w:val="28"/>
        </w:rPr>
      </w:pPr>
    </w:p>
    <w:p w:rsidR="00AB6A30" w:rsidRDefault="00AB6A3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озеленению</w:t>
      </w:r>
    </w:p>
    <w:p w:rsidR="00AB6A30" w:rsidRDefault="00D565A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оперативной оценки состояния зеленых насаждений и по заявлениям организаций, граждан было выдано 95 разрешений (порубочных билетов) на вырубку деревьев и 68 разрешений (порубочных билетов) на санитарную обрезку деревьев. Была произведена вырубка 149 деревьев, санитарная вырубка 2 кустарников и санитарная обрезка 140 деревьев.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оценке зеленых насаждений проводились в присутствии Общественного совета, созданного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 </w:t>
      </w:r>
    </w:p>
    <w:p w:rsidR="00AB6A30" w:rsidRDefault="00D565A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контракта № Ф.2023.18 от 03.04.2023 года, Ф.2023.36 от 12.09.2023года за 9 месяцев были выполнены работы по санитарной обрезке и валке деревьев по пер. Западному (от ул. им. К. Маркса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ул.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Губаревича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по пер. Больничному, ул. Нефтяников, ул. Мира, ул. Специалистов, ул. им. Матросова, ул.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Губаревича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им Седова, ул.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Костычева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ул. им. Хмельницкого и другим улицам города.</w:t>
      </w:r>
    </w:p>
    <w:p w:rsidR="00AB6A30" w:rsidRDefault="00D565A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муниципального контракта Ф.2023.18 от 03.04.2022 года Ф.2023.92 от  за 9 месяцев были выкошены: ул. им. Ленина, Площадь около кинотеатра, сквер (около магазина 777) ул. Тельмана-Чкалова, сквер по ул. им. Шукшина, сквер по ул. Машиностроителей, сквер по ул. Специалистов, детская площадка в п. Дубки, сквер по ул. им. Чкалова (детская поликлиника), ул. Березова, ул. Мира, ул. 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Чкалова, ул. Садовая, ул. им. Тельмана, ул. им. Чехова, ул. Советская, ул. им. Карла Маркса, ул. им. Шукшина, ул. им. Матросова, ул. Машиностроителей, ул. Специалистов, ул. Социалистическая, ул.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им. Гагарина, пер. Западный, ул. Новая, ул. Лесная 2, пер. им. Куйбышева, ул. им. Шукшина 99 (за домом) и на территории футбольного поля за домом ул. им. Шукшина 100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Манычская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Северная, ул.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Комсомольская, 11 и      другие улицы города.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рамках осеннего месячника продолжаются работы по уборке улиц, парков, от сухих ветвей, листвы, мусора. </w:t>
      </w:r>
    </w:p>
    <w:p w:rsidR="00AB6A30" w:rsidRDefault="00D565A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контракта Ф.2023.03 от 03.04.2022 года были  выполнены работы по содержанию цветников по ул. им. Ленина и ул. Мира. Высажено более 9 тысяч однолетних цветов. </w:t>
      </w:r>
    </w:p>
    <w:p w:rsidR="00AB6A30" w:rsidRDefault="00D565A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в рамках Дня древонасаждений было высажено 50 саженцев сумаха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оленерогого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муниципального контракта Ф.2023.18 от 03.04.2023 г., а также 50 саженцев сумаха и 80 кустов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форзиции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компенсационного озеленения. Осенью в яблоневом  саду военного городка по ул. Шукшина было высажено 20  саженцев яблонь.  </w:t>
      </w:r>
    </w:p>
    <w:p w:rsidR="00AB6A30" w:rsidRDefault="00D565A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парке культуры и отдыха высажено 52 куста  виргинского можжевельника, 13 кустов гибискуса,  ведутся работы по очистке территории от пней,  спилу ветхих и аварийных деревьев.</w:t>
      </w:r>
    </w:p>
    <w:p w:rsidR="00AB6A30" w:rsidRDefault="00AB6A3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 в сфере гражданской обороны и чрезвычайных ситуаций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нормативно-правового обеспечения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в области ГО, ЧС, обеспечения пожарной безопасности и безопасности людей на водных объектах за 9 мес. 2023 года принято 18 постановления и распоряжения, в том числе:  по вопросам предупреждения и ликвидации ЧС, защите населения и территории - 12; по вопросам обеспечения пожарной безопасности - 3;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организационного плана - 3. Подготовка командно-руководящего состава, специалистов, формирований городского звена РСЧС и населения осуществлялась в соответствии с организационно-методическими указаниями МЧС России на 2023 учебный год, утверждёнными планами и программами, за указанный период обучено 3 человека.  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учений и тренировок за указанный период выполнены, всего проведено - 11, в т.ч.: штабных и объектовых тренировок - 9; тактико-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специальных учений - 1, специальных пожарных тренировок - 1.  В организации и проведении учений, тренировок принимали участие профессиональные спасатели АСФ 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«Управление по делам ГО и ЧС», пожарные расчёты, сотрудники отделения надзорной деятельности и профилактической работы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ГУ МЧС России по РО, ВДПО. Пропаганда знаний и мероприятий в области ГО и защиты населения и территорий от ЧС осуществлялась за указанный период 2023 года путём размещения в печатных средствах массовой информации 9 статей по обеспечению безопасности населения на воде, пожарной безопасности, распространения тематических листовок и плакатов; привлечением населения к участию в пропаганде мероприятий РСЧС. 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за указанный период 2023 года по муниципальной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«Защита населения и территорий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от чрезвычайных ситуаций, обеспечения пожарной безопасности и безопасности людей на водных объектах» выполняются в соответствии с планом на общую сумму 578,0 тыс. рублей.</w:t>
      </w:r>
    </w:p>
    <w:p w:rsidR="00AB6A30" w:rsidRDefault="00AB6A30">
      <w:pPr>
        <w:pStyle w:val="normal"/>
        <w:spacing w:after="0" w:line="240" w:lineRule="auto"/>
        <w:rPr>
          <w:sz w:val="28"/>
          <w:szCs w:val="28"/>
        </w:rPr>
      </w:pP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Жилищный учет</w:t>
      </w:r>
    </w:p>
    <w:p w:rsidR="00AB6A30" w:rsidRDefault="00D565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осуществления полномочий муниципальной функции по жилищным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отчётный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 по муниципальному контролю и жилищным вопросам оказано 189 консультаций.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учете в качестве нуждающихся в жилых помещениях, из числа молодых семей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состоят 109 семей. За 9 месяцев 2 семьи получили сертификаты на приобретение жилых помещений.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учете в качестве нуждающихся в жилых помещениях, предоставляемых по договору социального найма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состоят 32 семьи.</w:t>
      </w:r>
      <w:proofErr w:type="gramEnd"/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Подготовлено 5 постановлений, подтверждающих основания снятия или постановку на учет граждан в качестве нуждающихся в жилых помещениях, предоставляемых по договору социального найма.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Заключены 3 договора социального найма на жилые помещения из реестра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 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Приобретено в рамках муниципального контракта Ф.2023.57 от 12.09.2023 года в муниципальную собственность 1 благоустроенное жилое помещение (квартира)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Зернограда Ростовской области (г Зерноград, ул. Машиностроителей, д. 13, кв. 57), площадью 62,9 кв. м, предоставляемое по договору найма семье, имеющей ребенка-инвалида.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Обследовано 1 жилое помещение, составлен 1 акт обследования жилого помещения. Составлен 1 акт о невыполнении нанимателем условий договора социального найма на жилые помещения из реестра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с рекомендации об устранении нарушений.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Составлено 124 предупреждения о необходимости устранения признаков административного правонарушения,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5.1 Областного закона от 25.10.2002 № 273-ЗС «Об административных правонарушениях».</w:t>
      </w:r>
    </w:p>
    <w:p w:rsidR="00AB6A30" w:rsidRDefault="00D565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88 разрешений (58 юридическим лицам, 30 физическим) на производство земляных работ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 </w:t>
      </w:r>
    </w:p>
    <w:p w:rsidR="00AB6A30" w:rsidRDefault="00AB6A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практика</w:t>
      </w:r>
    </w:p>
    <w:p w:rsidR="00AB6A30" w:rsidRDefault="00D565A1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следующая работа: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осуществления полномочий муниципальной функции по проведению контроля обеспечения санитарного содержания и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поселения, охраны окружающей  среды: 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Оформлено и выдано 50 разрешений на временное складирование и хранение строительных материалов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фитосанитарных обследования и   карантинные мероприятия на территории поселения.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Вручены 100 Предупреждений об устранении административного правонарушения (покос сорной и карантинной растительности на территории,  прилегающей к домовладению)</w:t>
      </w:r>
      <w:proofErr w:type="gramEnd"/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Оформлено и выдано 90 разрешений на захоронение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7 вводных инструктажей и контроль выполнения осужденными обязательных работ.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и утвержден  Регламент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Муниципальной услуги «Выдача разрешений на размещение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складирование ) строительных материалов».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и утвержден Регламент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Муниципальной услуги « Предоставление бесплатно участка земли для погребения тела (останков) или праха на муниципальных кладбищах ЗГП, выдача разрешения на погребение 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останков) или праха рядом или в одну и туже могилу с ранее погребенным супругом, близким родственником.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и утверждено Положение о Муниципальном земельном контроле в границах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Составлено и отправлено в административную комиссию 9 протоколов об административном правонарушении.</w:t>
      </w:r>
    </w:p>
    <w:p w:rsidR="00AB6A30" w:rsidRDefault="00D565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3  Общих собрания участников долевой собственности на земельные участки сельскохозяйственного назначения в АО «Учхоз Зерновое»</w:t>
      </w:r>
    </w:p>
    <w:p w:rsidR="00AB6A30" w:rsidRDefault="00D565A1" w:rsidP="009318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культуры</w:t>
      </w:r>
    </w:p>
    <w:p w:rsidR="00AB6A30" w:rsidRDefault="00D565A1">
      <w:pPr>
        <w:pStyle w:val="normal"/>
        <w:tabs>
          <w:tab w:val="left" w:pos="0"/>
        </w:tabs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«Развитие культуры»  в 2023 году выделено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19389,9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фактически освоено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 поселения по итогам 9 месяцев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14192,5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тыс.руб., что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73,2%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годовых назначений.</w:t>
      </w:r>
    </w:p>
    <w:p w:rsidR="00AB6A30" w:rsidRDefault="00D565A1">
      <w:pPr>
        <w:pStyle w:val="normal"/>
        <w:tabs>
          <w:tab w:val="left" w:pos="0"/>
        </w:tabs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учреждению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«Комсомольский Дом культуры и клубы» в 2023 году выделено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11392,4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израсходовано за 9 месяцев 2023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7972,2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AB6A30" w:rsidRDefault="00D565A1">
      <w:pPr>
        <w:pStyle w:val="normal"/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за 9 месяцев 2023 года муниципальным бюджетным учреждением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«Комсомольский Дом культуры и клубы» и его структурными подразделениями - сельскими клубами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леновый, пос.Экспериментальный, пос.Прудовой,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пос.Шосссейный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хут.Каменный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пос.Зерновой проведено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мероприятий, на которых присутствовало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38189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действовало 22 клубных формирований.</w:t>
      </w:r>
    </w:p>
    <w:p w:rsidR="00AB6A30" w:rsidRDefault="00D565A1">
      <w:pPr>
        <w:pStyle w:val="normal"/>
        <w:tabs>
          <w:tab w:val="left" w:pos="0"/>
        </w:tabs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учреждению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«Центральная городская библиотека имени А.Гайдара» в 2023 году выделено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7029,4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израсходовано за 9 месяцев 2023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5429,2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тыс.руб. 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истекший период 2023 года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бюджетном учреждении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«Центральная городская библиотека имени А.Гайдара»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структурных подразделениях - библиотеках пос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ерновой, пос.Экспериментальный, пос.Комсомольский,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хут.Каменный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посещений библиотеки составило 57351 единиц,  зарегистрировано пользователей - 4133  человек, выдано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107387 экземпляров, выполнено 5834 справок, внесено библиографических записей муниципальных библиотек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в сводный электронный каталог библиотек Ростовской области в количестве 623 единиц.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и проводятся культурно-просветительные и образовательные мероприятия, с охватом 6398 человек.</w:t>
      </w:r>
    </w:p>
    <w:p w:rsidR="00AB6A30" w:rsidRDefault="00D565A1">
      <w:pPr>
        <w:pStyle w:val="normal"/>
        <w:tabs>
          <w:tab w:val="left" w:pos="765"/>
        </w:tabs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Библиотекой проведено 10 обучающих мероприятий, в помощь заведующим библиотекам и абонементам разработано 29 документов по наиболее актуальным вопросам библиотечного обслуживания библиотек, проведено 57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индивидуальных, групповых, выездных консультаций. </w:t>
      </w:r>
    </w:p>
    <w:p w:rsidR="00AB6A30" w:rsidRDefault="00D565A1">
      <w:pPr>
        <w:pStyle w:val="normal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мероприятий по сохранению памятников истории и культуры в 2023 году выделено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873,1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израсходовано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756,2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тыс.руб., в т.ч.: </w:t>
      </w:r>
    </w:p>
    <w:p w:rsidR="00AB6A30" w:rsidRDefault="00D565A1">
      <w:pPr>
        <w:pStyle w:val="normal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по сохранению памятников истории и культуры осуществляется планомерно и систематически,  направлена на сохранение, развитие и популяризацию памятников истории и культуры, в особенности - памятников Великой Отечественной войны, поддержанию их в состоянии, соответствующем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достойному и уважительному отношению к памяти о Победе советского народа в Великой Отечественной войне.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работы по текущему ремонту памятников воинской славы, 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поселения, техническому обслуживанию объекта «Вечный огонь» у памятника «Наступление»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ернограде, выполнены строительно-монтажные работы по установке газогорелочного оборудования на объекте «Огонь памяти» у памятника погибшим воинам в пос.Экспериментальный.</w:t>
      </w:r>
    </w:p>
    <w:p w:rsidR="00AB6A30" w:rsidRDefault="00D565A1">
      <w:pPr>
        <w:pStyle w:val="normal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целях обеспечения сохранности, популяризации и охраны памятников истории и культуры с 1 по 30 апреля 2023г. состоялся месячник по благоустройству, охране и пропаганде памятников истории и культуры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с учетом ограничений, связанных 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санитарно-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эпидемиологической обстановкой. Проводились акции по наведению санитарного порядка и благоустройство памятников истории и культуры, памятных знаков, мемориальных досок,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к памятным датам воинской славы, рейды по обследованию санитарного состояния памятников истории и культуры, братских и воинских захоронений.  </w:t>
      </w:r>
    </w:p>
    <w:p w:rsidR="00AB6A30" w:rsidRDefault="00D565A1">
      <w:pPr>
        <w:pStyle w:val="normal"/>
        <w:tabs>
          <w:tab w:val="left" w:pos="7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является организация и проведение культурно-массовых мероприятий и социально значимых акций, на реализацию данной подпрограммы запланировано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израсходовано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34,9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B6A30" w:rsidRDefault="00D565A1">
      <w:pPr>
        <w:pStyle w:val="normal"/>
        <w:spacing w:after="0" w:line="240" w:lineRule="auto"/>
        <w:ind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организация и проведение  праздничных мероприятий, посвященных Дню  города Зернограда и Году атамана М.И.Платова, гражданско-патриотических мероприятий в честь дней воинской славы. Широкий резонанс вызвал фильм «Бой за хутор Каменный, посвященный 80-ой годовщины освобождения города Зернограда и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от немецко-фашистских захватчиков, созданный специалистами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совместно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 Ростовской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поисковой общественной организации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Миус-Фронт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Берсеневой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Эльвирой Николаевной. Наиболее значимыми стали проведенные акции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вами, и мы гордимся!»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«Наследники Победы», в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поддержку семей и военнослужащих,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задействованных в спецоперации на Украине, по результатам которых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созданные </w:t>
      </w:r>
      <w:r>
        <w:rPr>
          <w:rFonts w:ascii="Times New Roman" w:eastAsia="Times New Roman" w:hAnsi="Times New Roman" w:cs="Times New Roman"/>
          <w:sz w:val="28"/>
          <w:szCs w:val="28"/>
        </w:rPr>
        <w:t>ролики направлялись в семьи военнослужащих и на передовую.</w:t>
      </w:r>
    </w:p>
    <w:p w:rsidR="00AB6A30" w:rsidRDefault="00AB6A30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Молодежная политика и развитие физкультуры и спорта</w:t>
      </w:r>
    </w:p>
    <w:p w:rsidR="00AB6A30" w:rsidRDefault="00D565A1">
      <w:pPr>
        <w:pStyle w:val="normal"/>
        <w:tabs>
          <w:tab w:val="left" w:pos="44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«Молодежь Зернограда»  в 2023 году финансирование не предусматривается.</w:t>
      </w:r>
    </w:p>
    <w:p w:rsidR="00AB6A30" w:rsidRDefault="00D565A1">
      <w:pPr>
        <w:pStyle w:val="normal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«Поддержка молодежных инициатив»  были проведена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 «Подари радость детям» для семей военнослужащих, призванных в Вооруженные силы Российской Федерации, по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добровольной основе, а также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олодежная экологическая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акция «Вода России» (совместно со студентами ГБПОУ 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AB6A30" w:rsidRDefault="00D565A1">
      <w:pPr>
        <w:pStyle w:val="normal"/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«Формирование патриотизма в молодежной среде» состоялась акция «Пост № 1» (совместно с юнармейским отрядом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 военно-патриотического клуба «ЗУБР»  имени Героя Советского союза Павлова В. Е.).</w:t>
      </w:r>
    </w:p>
    <w:p w:rsidR="00AB6A30" w:rsidRDefault="00D565A1">
      <w:pPr>
        <w:pStyle w:val="normal"/>
        <w:tabs>
          <w:tab w:val="left" w:pos="0"/>
        </w:tabs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«Развитие физической культуры и спорта»  в 2023 году выделено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1699502,9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 фактически освоено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 поселения по итогам 9 месяцев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112,4 </w:t>
      </w:r>
      <w:r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подпрограммы «Организация проведения официальных физкультурно-оздоровительных и спортивных мероприятий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 проведено:</w:t>
      </w:r>
    </w:p>
    <w:p w:rsidR="00AB6A30" w:rsidRDefault="00D565A1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XI легкоатлетический пробег </w:t>
      </w:r>
      <w:r>
        <w:rPr>
          <w:rFonts w:ascii="Times New Roman" w:eastAsia="Times New Roman" w:hAnsi="Times New Roman" w:cs="Times New Roman"/>
          <w:sz w:val="28"/>
          <w:szCs w:val="28"/>
        </w:rPr>
        <w:t>«Да здравствует БЕГ!», посвященный Международному дню защиты детей;</w:t>
      </w:r>
    </w:p>
    <w:p w:rsidR="00AB6A30" w:rsidRDefault="00D565A1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Спортивные соревнования «Веселые старты», посвященные Дню физкультурника в населенных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поселения:</w:t>
      </w:r>
    </w:p>
    <w:p w:rsidR="00AB6A30" w:rsidRDefault="00D565A1">
      <w:pPr>
        <w:pStyle w:val="normal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омсомольский,</w:t>
      </w:r>
    </w:p>
    <w:p w:rsidR="00AB6A30" w:rsidRDefault="00D565A1">
      <w:pPr>
        <w:pStyle w:val="normal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леновый,</w:t>
      </w:r>
    </w:p>
    <w:p w:rsidR="00AB6A30" w:rsidRDefault="00D565A1">
      <w:pPr>
        <w:pStyle w:val="normal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рудовой,</w:t>
      </w:r>
    </w:p>
    <w:p w:rsidR="00AB6A30" w:rsidRDefault="00D565A1">
      <w:pPr>
        <w:pStyle w:val="normal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B6A30" w:rsidRDefault="00D565A1">
      <w:pPr>
        <w:pStyle w:val="normal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оссейный,</w:t>
      </w:r>
    </w:p>
    <w:p w:rsidR="00AB6A30" w:rsidRDefault="00D565A1">
      <w:pPr>
        <w:pStyle w:val="normal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кспериментальный;</w:t>
      </w:r>
    </w:p>
    <w:p w:rsidR="00AB6A30" w:rsidRDefault="00D565A1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- Открытый турнир по пляжному волейболу среди юношей, посвященный Году атамана М.И. Платова;</w:t>
      </w:r>
    </w:p>
    <w:p w:rsidR="00AB6A30" w:rsidRDefault="00D565A1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- Открытый турнир по пляжному волейболу среди девушек, посвященный Году атамана М.И. Платова.</w:t>
      </w:r>
    </w:p>
    <w:p w:rsidR="00AB6A30" w:rsidRDefault="00D565A1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бюджетных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2023 году приобретена подарочная продукция на сумму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B6A30" w:rsidRDefault="00D565A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подпрограммы «Развитие инфраструктуры спорта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поселении» проведены работы по текущему ремонту оборудования на спортивных площадках,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на сумму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108,9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заключено концессионное соглашение о создании и эксплуатации модульного плавательного бассейна.</w:t>
      </w:r>
    </w:p>
    <w:p w:rsidR="00AB6A30" w:rsidRDefault="00AB6A3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по работе с обращениями граждан</w:t>
      </w:r>
    </w:p>
    <w:p w:rsidR="00AB6A30" w:rsidRDefault="00D565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ведется строгий контроль над ходом рассмотрения обращений граждан. Ни одно обращение не остается без внимания. За 9 месяцев 2023 года от граждан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поступило 418 обращения. </w:t>
      </w:r>
    </w:p>
    <w:p w:rsidR="00AB6A30" w:rsidRDefault="00D565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 заявлений поступило 385.</w:t>
      </w:r>
    </w:p>
    <w:p w:rsidR="00AB6A30" w:rsidRDefault="00D565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 обращений поступило на сайт Администрации</w:t>
      </w:r>
    </w:p>
    <w:p w:rsidR="00AB6A30" w:rsidRDefault="00D565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на электронную почту.</w:t>
      </w:r>
    </w:p>
    <w:p w:rsidR="00AB6A30" w:rsidRDefault="00D565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зарегистрировано на личном приеме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AB6A30" w:rsidRDefault="00D565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обращениям заявителям даны разъяснения. Отказов в принятии заявлений и оставления заявления без рассмотрения не было. 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справок и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книг: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 запросам физических лиц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запросам юридических лиц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A30" w:rsidRDefault="00AB6A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архивных копий и справок из архивного фонда АЗГП: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 запросам физических лиц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запросам юридических лиц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A30" w:rsidRDefault="00AB6A30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общественностью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9 месяцев 2023 года было проведено 24 схода граждан. Все сходы граждан касались вопросов благоустройства и решения проблем водоснабжения на территории поселения.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активно действуют 12 председателей поселковых общественных комитетов, 57 председателей уличных комитетов, 124 председателя домовых комитетов. Проведена большая работа по выборам председателей Советов домов в МКД с непосредственным способом управления.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зарегистрировано 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 ТОС готовится для ликвидации (ул. Дзержинского,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83 в связи с расселением жителей,  1ТОС к регистрации по ул. им. Крупской (2 часть улицы).</w:t>
      </w:r>
      <w:proofErr w:type="gramEnd"/>
    </w:p>
    <w:p w:rsidR="00AB6A30" w:rsidRDefault="00D565A1" w:rsidP="00931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Действуют: Общественный совет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и  Общественный Совет по развитию территориального общественного самоуправления, а также Координационный Совет по вопросам межнациональных отношений, взаимодействию с национальными общественными объединениями и религиозными организациями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комиссия.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Городская казачья дружина   проводит рейдовые мероприятия,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отчетныц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года было совершено 507 выходов. Дружина выполняет важные функции, обеспечивая охрану общественного порядка на территории поселения во время рейдов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городских  культурно-массовых мероприятий.</w:t>
      </w:r>
    </w:p>
    <w:p w:rsidR="00AB6A30" w:rsidRDefault="00AB6A3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6A30" w:rsidRDefault="00D565A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Информационная  политика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ведет  информационную деятельность  среди населения по нескольким направлениям.</w:t>
      </w:r>
    </w:p>
    <w:p w:rsidR="00AB6A30" w:rsidRDefault="00D565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Подготовлено и издано 27 номеров газеты «Зерноград официальный», где опубликованы нормативно-правовые акты, регулирующие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и подведомственных учреждений, вышли в печать 22 номера газеты «Бесплатное удовольствие», информация о работе муниципалитета распространяется через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и 3 официальных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муниципалитета.</w:t>
      </w:r>
    </w:p>
    <w:p w:rsidR="00AB6A30" w:rsidRDefault="00AB6A3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5A1" w:rsidRDefault="00D565A1" w:rsidP="00D5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поселения! Я благодарю вас за взаимодействие с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 за ваше участие в жизни города,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 и искреннюю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заботу по отношению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Зернограду и поселкам. Спасибо за внимание!</w:t>
      </w:r>
    </w:p>
    <w:p w:rsidR="00AB6A30" w:rsidRDefault="00AB6A30">
      <w:pPr>
        <w:pStyle w:val="normal"/>
        <w:spacing w:after="0" w:line="240" w:lineRule="auto"/>
        <w:rPr>
          <w:sz w:val="28"/>
          <w:szCs w:val="28"/>
        </w:rPr>
      </w:pPr>
    </w:p>
    <w:sectPr w:rsidR="00AB6A30" w:rsidSect="00AB6A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C44"/>
    <w:multiLevelType w:val="multilevel"/>
    <w:tmpl w:val="338C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DDC"/>
    <w:multiLevelType w:val="multilevel"/>
    <w:tmpl w:val="2E9C81B8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7F484D"/>
    <w:multiLevelType w:val="multilevel"/>
    <w:tmpl w:val="0A665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C6C203A"/>
    <w:multiLevelType w:val="multilevel"/>
    <w:tmpl w:val="082E0F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B6A30"/>
    <w:rsid w:val="00161256"/>
    <w:rsid w:val="00931823"/>
    <w:rsid w:val="00AB6A30"/>
    <w:rsid w:val="00D5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56"/>
  </w:style>
  <w:style w:type="paragraph" w:styleId="1">
    <w:name w:val="heading 1"/>
    <w:basedOn w:val="normal"/>
    <w:next w:val="normal"/>
    <w:rsid w:val="00AB6A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6A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6A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6A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6A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B6A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6A30"/>
  </w:style>
  <w:style w:type="table" w:customStyle="1" w:styleId="TableNormal">
    <w:name w:val="Table Normal"/>
    <w:rsid w:val="00AB6A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6A30"/>
    <w:pPr>
      <w:pBdr>
        <w:bottom w:val="single" w:sz="8" w:space="4" w:color="4F81BD"/>
      </w:pBdr>
      <w:spacing w:after="300" w:line="240" w:lineRule="auto"/>
    </w:pPr>
    <w:rPr>
      <w:b/>
      <w:sz w:val="32"/>
      <w:szCs w:val="32"/>
    </w:rPr>
  </w:style>
  <w:style w:type="paragraph" w:styleId="a4">
    <w:name w:val="Subtitle"/>
    <w:basedOn w:val="normal"/>
    <w:next w:val="normal"/>
    <w:rsid w:val="00AB6A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B6A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B6A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B6A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B6A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karty.ru/zernograd/ulica-im-ciolkovskogo" TargetMode="External"/><Relationship Id="rId5" Type="http://schemas.openxmlformats.org/officeDocument/2006/relationships/hyperlink" Target="https://ruskarty.ru/zernograd/ulica-50-letiya-pob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5064</Words>
  <Characters>28868</Characters>
  <Application>Microsoft Office Word</Application>
  <DocSecurity>0</DocSecurity>
  <Lines>240</Lines>
  <Paragraphs>67</Paragraphs>
  <ScaleCrop>false</ScaleCrop>
  <Company/>
  <LinksUpToDate>false</LinksUpToDate>
  <CharactersWithSpaces>33865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2023-11-17T13:25:00Z</dcterms:created>
  <dcterms:modified xsi:type="dcterms:W3CDTF">2023-11-17T13:32:00Z</dcterms:modified>
</cp:coreProperties>
</file>