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ЗЕРНОГРАДСКОГО ГОРОДСКОГО ПОСЕЛЕНИЯ</w:t>
      </w: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пятого созыва</w:t>
      </w:r>
    </w:p>
    <w:p w14:paraId="0B000000">
      <w:pPr>
        <w:pStyle w:val="Style_2"/>
        <w:spacing w:after="120" w:before="120" w:line="20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14:paraId="0C000000">
      <w:pPr>
        <w:ind w:right="17"/>
        <w:jc w:val="center"/>
        <w:rPr>
          <w:b w:val="1"/>
          <w:sz w:val="28"/>
        </w:rPr>
      </w:pPr>
      <w:r>
        <w:rPr>
          <w:b w:val="1"/>
          <w:sz w:val="28"/>
        </w:rPr>
        <w:t>№ _____</w:t>
      </w:r>
    </w:p>
    <w:p w14:paraId="0D000000">
      <w:pPr>
        <w:tabs>
          <w:tab w:leader="none" w:pos="8842" w:val="left"/>
        </w:tabs>
        <w:ind/>
        <w:rPr>
          <w:sz w:val="28"/>
        </w:rPr>
      </w:pPr>
      <w:r>
        <w:rPr>
          <w:spacing w:val="-1"/>
          <w:sz w:val="28"/>
        </w:rPr>
        <w:t xml:space="preserve">__________                                 </w:t>
      </w:r>
      <w:r>
        <w:rPr>
          <w:spacing w:val="-1"/>
          <w:sz w:val="28"/>
        </w:rPr>
        <w:t xml:space="preserve">                                                           </w:t>
      </w:r>
      <w:r>
        <w:rPr>
          <w:sz w:val="28"/>
        </w:rPr>
        <w:t>г</w:t>
      </w:r>
      <w:r>
        <w:rPr>
          <w:sz w:val="28"/>
        </w:rPr>
        <w:t>. Зерноград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О земельном налоге</w:t>
      </w:r>
    </w:p>
    <w:p w14:paraId="11000000">
      <w:pPr>
        <w:ind w:firstLine="935" w:left="0"/>
        <w:jc w:val="both"/>
        <w:rPr>
          <w:sz w:val="10"/>
        </w:rPr>
      </w:pPr>
    </w:p>
    <w:p w14:paraId="12000000">
      <w:pPr>
        <w:ind w:firstLine="935" w:left="0"/>
        <w:jc w:val="both"/>
        <w:rPr>
          <w:sz w:val="28"/>
        </w:rPr>
      </w:pPr>
    </w:p>
    <w:p w14:paraId="13000000">
      <w:pPr>
        <w:ind w:firstLine="935" w:left="0"/>
        <w:jc w:val="both"/>
        <w:rPr>
          <w:sz w:val="28"/>
        </w:rPr>
      </w:pPr>
      <w:r>
        <w:rPr>
          <w:sz w:val="28"/>
        </w:rPr>
        <w:t>Руководствуясь главой 31 «Земельный налог» части второй Налогового Кодекса Российской Федерации</w:t>
      </w:r>
    </w:p>
    <w:p w14:paraId="14000000">
      <w:pPr>
        <w:tabs>
          <w:tab w:leader="none" w:pos="4962" w:val="left"/>
          <w:tab w:leader="underscore" w:pos="8117" w:val="left"/>
        </w:tabs>
        <w:ind w:firstLine="935" w:left="0"/>
        <w:jc w:val="both"/>
        <w:rPr>
          <w:caps w:val="1"/>
          <w:spacing w:val="-5"/>
          <w:sz w:val="28"/>
        </w:rPr>
      </w:pPr>
      <w:r>
        <w:rPr>
          <w:sz w:val="28"/>
        </w:rPr>
        <w:t>Собрание депутатов Зерноградского городского поселения,</w:t>
      </w:r>
      <w:r>
        <w:rPr>
          <w:caps w:val="1"/>
          <w:spacing w:val="-5"/>
          <w:sz w:val="28"/>
        </w:rPr>
        <w:t xml:space="preserve"> </w:t>
      </w:r>
    </w:p>
    <w:p w14:paraId="15000000">
      <w:pPr>
        <w:tabs>
          <w:tab w:leader="none" w:pos="4962" w:val="left"/>
          <w:tab w:leader="underscore" w:pos="8117" w:val="left"/>
        </w:tabs>
        <w:spacing w:before="120"/>
        <w:ind/>
        <w:jc w:val="center"/>
        <w:rPr>
          <w:caps w:val="1"/>
          <w:spacing w:val="-5"/>
          <w:sz w:val="28"/>
        </w:rPr>
      </w:pPr>
      <w:r>
        <w:rPr>
          <w:caps w:val="1"/>
          <w:spacing w:val="-5"/>
          <w:sz w:val="28"/>
        </w:rPr>
        <w:t>РЕШИЛО: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Ввести на территории Зерноградского городского поселения земельный налог.</w:t>
      </w:r>
    </w:p>
    <w:p w14:paraId="17000000">
      <w:pPr>
        <w:spacing w:before="57"/>
        <w:ind w:firstLine="720" w:left="0"/>
        <w:jc w:val="both"/>
        <w:rPr>
          <w:sz w:val="28"/>
        </w:rPr>
      </w:pPr>
      <w:r>
        <w:rPr>
          <w:spacing w:val="-5"/>
          <w:sz w:val="28"/>
        </w:rPr>
        <w:t xml:space="preserve">2. </w:t>
      </w:r>
      <w:r>
        <w:rPr>
          <w:sz w:val="28"/>
          <w:u w:val="single"/>
        </w:rPr>
        <w:t>Установить</w:t>
      </w:r>
      <w:r>
        <w:rPr>
          <w:sz w:val="28"/>
        </w:rPr>
        <w:t xml:space="preserve"> на территории Зерноградского  городского </w:t>
      </w:r>
      <w:r>
        <w:rPr>
          <w:sz w:val="28"/>
        </w:rPr>
        <w:t>поселения</w:t>
      </w:r>
      <w:r>
        <w:rPr>
          <w:sz w:val="28"/>
        </w:rPr>
        <w:t xml:space="preserve">  дифференцированные </w:t>
      </w:r>
      <w:r>
        <w:rPr>
          <w:sz w:val="28"/>
          <w:u w:val="single"/>
        </w:rPr>
        <w:t>налоговые ставки</w:t>
      </w:r>
      <w:r>
        <w:rPr>
          <w:sz w:val="28"/>
        </w:rPr>
        <w:t xml:space="preserve"> в зависимости от вида разрешенного  использования земельных участков в следующи</w:t>
      </w:r>
      <w:r>
        <w:rPr>
          <w:sz w:val="28"/>
        </w:rPr>
        <w:t>х размерах:</w:t>
      </w:r>
    </w:p>
    <w:p w14:paraId="18000000">
      <w:pPr>
        <w:spacing w:before="57"/>
        <w:ind w:firstLine="720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b w:val="1"/>
          <w:sz w:val="28"/>
        </w:rPr>
        <w:t>0,16 процента</w:t>
      </w:r>
      <w:r>
        <w:rPr>
          <w:sz w:val="28"/>
        </w:rPr>
        <w:t xml:space="preserve">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</w:t>
      </w:r>
      <w:r>
        <w:rPr>
          <w:sz w:val="28"/>
        </w:rPr>
        <w:t>стка, приходящейся на объект недвижимого имущества, не отно</w:t>
      </w:r>
      <w:r>
        <w:rPr>
          <w:sz w:val="28"/>
        </w:rPr>
        <w:t>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sz w:val="28"/>
        </w:rPr>
        <w:t>,</w:t>
      </w:r>
      <w:r>
        <w:rPr>
          <w:sz w:val="28"/>
        </w:rPr>
        <w:t xml:space="preserve"> за исключением </w:t>
      </w:r>
      <w:r>
        <w:rPr>
          <w:sz w:val="28"/>
        </w:rPr>
        <w:t>указанных в настоящем абзаце</w:t>
      </w:r>
      <w:r>
        <w:rPr>
          <w:sz w:val="28"/>
        </w:rPr>
        <w:t xml:space="preserve"> земельных участков, приобретенных (предоста</w:t>
      </w:r>
      <w:r>
        <w:rPr>
          <w:sz w:val="28"/>
        </w:rPr>
        <w:t>вленных) для индивидуального жилищного строительства</w:t>
      </w:r>
      <w:r>
        <w:rPr>
          <w:sz w:val="28"/>
        </w:rPr>
        <w:t>, используемых в предпринимательской деятельности</w:t>
      </w:r>
      <w:r>
        <w:rPr>
          <w:sz w:val="28"/>
        </w:rPr>
        <w:t>, и земельных участков, кадастровая стоимость каждого из которых превышает 300 миллионов рублей</w:t>
      </w:r>
      <w:r>
        <w:rPr>
          <w:sz w:val="28"/>
        </w:rPr>
        <w:t>;</w:t>
      </w:r>
    </w:p>
    <w:p w14:paraId="19000000">
      <w:pPr>
        <w:spacing w:before="57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 w:val="1"/>
          <w:sz w:val="28"/>
        </w:rPr>
        <w:t>0,3 процента</w:t>
      </w:r>
      <w:r>
        <w:rPr>
          <w:sz w:val="28"/>
        </w:rPr>
        <w:t xml:space="preserve"> в отношении земельных участков: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>- отнесенн</w:t>
      </w:r>
      <w:r>
        <w:rPr>
          <w:sz w:val="28"/>
        </w:rPr>
        <w:t>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B000000">
      <w:pPr>
        <w:ind w:firstLine="720" w:left="0"/>
        <w:jc w:val="both"/>
        <w:rPr>
          <w:sz w:val="28"/>
        </w:rPr>
      </w:pPr>
    </w:p>
    <w:p w14:paraId="1C000000">
      <w:pPr>
        <w:ind w:firstLine="720" w:left="0"/>
        <w:jc w:val="both"/>
        <w:rPr>
          <w:sz w:val="28"/>
        </w:rPr>
      </w:pPr>
    </w:p>
    <w:p w14:paraId="1D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- не используемых в предпринимательской деятельности, приобретенных (пре</w:t>
      </w:r>
      <w:r>
        <w:rPr>
          <w:sz w:val="28"/>
        </w:rPr>
        <w:t xml:space="preserve">доставленных) для ведения личного подсобного хозяйства, садоводства или огородничества, а также земельных участков </w:t>
      </w:r>
      <w:r>
        <w:rPr>
          <w:sz w:val="28"/>
        </w:rPr>
        <w:t>общего назначения, предусмотренных Федеральным законом от 29 июля 2017 года N 217-ФЗ "О ведении гражданами садоводства и огородничества для с</w:t>
      </w:r>
      <w:r>
        <w:rPr>
          <w:sz w:val="28"/>
        </w:rPr>
        <w:t>обственных нужд и о внесении изменений в отдельные законодательные акты Российской Федерации"</w:t>
      </w:r>
      <w:r>
        <w:rPr>
          <w:sz w:val="28"/>
        </w:rPr>
        <w:t>, за исключением указанных в настоящем абзаце земельных участков, кадастровая стоимость</w:t>
      </w:r>
      <w:r>
        <w:rPr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 xml:space="preserve"> из которых превышает 300 миллионов рублей</w:t>
      </w:r>
      <w:r>
        <w:rPr>
          <w:sz w:val="28"/>
        </w:rPr>
        <w:t>;</w:t>
      </w:r>
    </w:p>
    <w:p w14:paraId="1E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- ограниченных в обороте</w:t>
      </w:r>
      <w:r>
        <w:rPr>
          <w:sz w:val="28"/>
        </w:rPr>
        <w:t xml:space="preserve">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"consultantplus://offline/ref=AACDE1D3A3248F60079BF09477D09FA1C0DEE2BCCE16B3053CE9FA05F79B149B361CFC1AF2A590D001360998A4E7DAA65EDD2A1E51BA91F4q0c0I"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предоставленных для обеспечения оборо</w:t>
      </w:r>
      <w:r>
        <w:rPr>
          <w:sz w:val="28"/>
        </w:rPr>
        <w:t>ны, безопасности и таможенных нужд».</w:t>
      </w:r>
    </w:p>
    <w:p w14:paraId="1F000000">
      <w:pPr>
        <w:spacing w:before="57"/>
        <w:ind w:firstLine="720" w:left="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b w:val="1"/>
          <w:sz w:val="28"/>
        </w:rPr>
        <w:t>1,4 процента</w:t>
      </w:r>
      <w:r>
        <w:rPr>
          <w:sz w:val="28"/>
        </w:rPr>
        <w:t xml:space="preserve"> в отношении земельных участков: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</w:t>
      </w:r>
      <w:r>
        <w:rPr>
          <w:sz w:val="28"/>
        </w:rPr>
        <w:t>культуры и искусства.</w:t>
      </w:r>
    </w:p>
    <w:p w14:paraId="21000000">
      <w:pPr>
        <w:spacing w:before="57"/>
        <w:ind w:firstLine="720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b w:val="1"/>
          <w:sz w:val="28"/>
        </w:rPr>
        <w:t>1,5 процента</w:t>
      </w:r>
      <w:r>
        <w:rPr>
          <w:sz w:val="28"/>
        </w:rPr>
        <w:t xml:space="preserve"> в отношении прочих земельных участков.</w:t>
      </w:r>
    </w:p>
    <w:p w14:paraId="22000000">
      <w:pPr>
        <w:spacing w:line="228" w:lineRule="auto"/>
        <w:ind w:firstLine="720" w:left="0"/>
        <w:jc w:val="both"/>
        <w:rPr>
          <w:spacing w:val="-13"/>
          <w:sz w:val="4"/>
        </w:rPr>
      </w:pPr>
    </w:p>
    <w:p w14:paraId="23000000">
      <w:pPr>
        <w:spacing w:before="57" w:line="228" w:lineRule="auto"/>
        <w:ind w:firstLine="711" w:left="0"/>
        <w:jc w:val="both"/>
        <w:rPr>
          <w:sz w:val="28"/>
          <w:u w:val="single"/>
        </w:rPr>
      </w:pPr>
      <w:r>
        <w:rPr>
          <w:sz w:val="28"/>
          <w:u w:val="single"/>
        </w:rPr>
        <w:t>3. Освобождаются от налогообложения:</w:t>
      </w:r>
    </w:p>
    <w:p w14:paraId="24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3.1. Герои Советского Союза, Герои Российской Федерации, полные кавалеры ордена Славы;</w:t>
      </w:r>
    </w:p>
    <w:p w14:paraId="25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3.2. инвалиды I и II групп инвалидности;</w:t>
      </w:r>
    </w:p>
    <w:p w14:paraId="26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3.3. инвалиды</w:t>
      </w:r>
      <w:r>
        <w:rPr>
          <w:sz w:val="28"/>
        </w:rPr>
        <w:t xml:space="preserve"> с детства, детей-инвалидов;</w:t>
      </w:r>
    </w:p>
    <w:p w14:paraId="27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3.4. ветераны и инвалиды</w:t>
      </w:r>
      <w:r>
        <w:rPr>
          <w:b w:val="1"/>
          <w:sz w:val="28"/>
        </w:rPr>
        <w:t xml:space="preserve"> </w:t>
      </w:r>
      <w:r>
        <w:rPr>
          <w:sz w:val="28"/>
        </w:rPr>
        <w:t>Великой Отечественной войны, а также ветераны и инвалиды боевых действий;</w:t>
      </w:r>
    </w:p>
    <w:p w14:paraId="28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3.5. физические лица, имеющие право на получение социальной поддержки в соответствии с Законом Российской Федерации "О социально</w:t>
      </w:r>
      <w:r>
        <w:rPr>
          <w:sz w:val="28"/>
        </w:rPr>
        <w:t>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</w:t>
      </w:r>
      <w:r>
        <w:rPr>
          <w:sz w:val="28"/>
        </w:rPr>
        <w:t>е граждан Российской Федерации, подвергшихся воздействию радиации</w:t>
      </w:r>
      <w:r>
        <w:rPr>
          <w:sz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r>
        <w:rPr>
          <w:sz w:val="28"/>
        </w:rPr>
        <w:t>Теча</w:t>
      </w:r>
      <w:r>
        <w:rPr>
          <w:sz w:val="28"/>
        </w:rPr>
        <w:t>" и в соответствии с Федеральным законом от 10 января 2002 года N 2-ФЗ "О соци</w:t>
      </w:r>
      <w:r>
        <w:rPr>
          <w:sz w:val="28"/>
        </w:rPr>
        <w:t>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29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3.6. физические лица, принимавшие в составе подразделений особого риска непосредственное участие в испытаниях ядерного и термоядер</w:t>
      </w:r>
      <w:r>
        <w:rPr>
          <w:sz w:val="28"/>
        </w:rPr>
        <w:t>ного оружия, ликвидации аварий ядерных установок на средствах вооружения и военных объектах;</w:t>
      </w:r>
    </w:p>
    <w:p w14:paraId="2A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3.7.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</w:t>
      </w:r>
      <w:r>
        <w:rPr>
          <w:sz w:val="28"/>
        </w:rPr>
        <w:t>ых установок, включая ядерное оружие и космическую технику;</w:t>
      </w:r>
    </w:p>
    <w:p w14:paraId="2B000000">
      <w:pPr>
        <w:spacing w:line="228" w:lineRule="auto"/>
        <w:ind w:firstLine="711" w:left="0"/>
        <w:jc w:val="both"/>
        <w:rPr>
          <w:sz w:val="28"/>
        </w:rPr>
      </w:pPr>
    </w:p>
    <w:p w14:paraId="2C000000">
      <w:pPr>
        <w:spacing w:line="228" w:lineRule="auto"/>
        <w:ind w:firstLine="711" w:left="0"/>
        <w:jc w:val="both"/>
        <w:rPr>
          <w:sz w:val="28"/>
        </w:rPr>
      </w:pPr>
    </w:p>
    <w:p w14:paraId="2D000000">
      <w:pPr>
        <w:spacing w:line="228" w:lineRule="auto"/>
        <w:ind w:firstLine="711" w:left="0"/>
        <w:jc w:val="both"/>
        <w:rPr>
          <w:sz w:val="6"/>
        </w:rPr>
      </w:pPr>
    </w:p>
    <w:p w14:paraId="2E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3.8.</w:t>
      </w:r>
      <w:r>
        <w:rPr>
          <w:sz w:val="28"/>
        </w:rPr>
        <w:t xml:space="preserve"> граждане Российской Федерации, проживающие на территории Ростовской области в течении не менее чем 5 лет, имеющие трех и более несовершеннолетних детей и совместно проживающие с ними, а также находящихся под опекой или попечительством детей, при условии воспитании этих детей не менее  3 лет в соответствии со </w:t>
      </w:r>
      <w:r>
        <w:rPr>
          <w:sz w:val="28"/>
        </w:rPr>
        <w:t>статьями</w:t>
      </w:r>
      <w:r>
        <w:rPr>
          <w:sz w:val="28"/>
        </w:rPr>
        <w:t xml:space="preserve"> 8.2,                      8.3 Областного Закона Ростовской области от 22.07.2003 г. № 19-ЗС                  «О регулировании земельных отношений в Ростовской области».</w:t>
      </w:r>
    </w:p>
    <w:p w14:paraId="2F000000">
      <w:pPr>
        <w:spacing w:before="57" w:line="228" w:lineRule="auto"/>
        <w:ind w:firstLine="711" w:left="0"/>
        <w:jc w:val="both"/>
        <w:rPr>
          <w:sz w:val="28"/>
        </w:rPr>
      </w:pPr>
      <w:r>
        <w:rPr>
          <w:sz w:val="28"/>
        </w:rPr>
        <w:t>3.9. Органы местного самоуправления Зерноградского городского поселения.</w:t>
      </w:r>
    </w:p>
    <w:p w14:paraId="30000000">
      <w:pPr>
        <w:spacing w:before="57" w:line="228" w:lineRule="auto"/>
        <w:ind w:firstLine="711" w:left="0"/>
        <w:jc w:val="both"/>
        <w:rPr>
          <w:sz w:val="28"/>
        </w:rPr>
      </w:pPr>
      <w:r>
        <w:rPr>
          <w:sz w:val="28"/>
        </w:rPr>
        <w:t>3.10.</w:t>
      </w:r>
      <w:r>
        <w:rPr>
          <w:sz w:val="28"/>
        </w:rPr>
        <w:t xml:space="preserve"> Муниципальные казенные учреждения Зерноград</w:t>
      </w:r>
      <w:r>
        <w:rPr>
          <w:sz w:val="28"/>
        </w:rPr>
        <w:t>ского городского поселения.</w:t>
      </w:r>
    </w:p>
    <w:p w14:paraId="31000000">
      <w:pPr>
        <w:spacing w:before="57" w:line="228" w:lineRule="auto"/>
        <w:ind w:firstLine="71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В целях положения пункта 3.8 настоящего решения:</w:t>
      </w:r>
    </w:p>
    <w:p w14:paraId="32000000">
      <w:pPr>
        <w:numPr>
          <w:numId w:val="1"/>
        </w:numPr>
        <w:spacing w:line="228" w:lineRule="auto"/>
        <w:ind w:firstLine="567" w:left="0"/>
        <w:jc w:val="both"/>
        <w:rPr>
          <w:sz w:val="28"/>
        </w:rPr>
      </w:pPr>
      <w:r>
        <w:rPr>
          <w:sz w:val="28"/>
        </w:rPr>
        <w:t>документами, подтверждающими льготу, является нормативно правовой акт о предоставлении земельного участка  по месту жительства от органа местного самоуправления муниципального образования и выписка из Единого государственного реестра прав на  объект недвижимого имущества;</w:t>
      </w:r>
    </w:p>
    <w:p w14:paraId="33000000">
      <w:pPr>
        <w:numPr>
          <w:numId w:val="1"/>
        </w:numPr>
        <w:spacing w:line="228" w:lineRule="auto"/>
        <w:ind w:firstLine="556" w:left="0"/>
        <w:jc w:val="both"/>
        <w:rPr>
          <w:sz w:val="28"/>
        </w:rPr>
      </w:pPr>
      <w:r>
        <w:rPr>
          <w:sz w:val="28"/>
        </w:rPr>
        <w:t>право на налоговую льготу имеют несовершеннолетние дети в возрасте до 18 лет, а в случае обучения достигшего совершеннолетия ребенка по очной форме обучения в образовательной организации (за исключением организаций дополнительного образования) до окончания такого обучения, но не дольше чем до достижения им возраста 23 лет, обладающие правом собственности на земельный участок, предоставленный в порядке и на условиях, определенных статьями 8.2, 8.3 Областного закона Ростовской области от 22 июля 2003 года № 19-ЗС «О регулировании земельных отношений в Ростовской области»;</w:t>
      </w:r>
    </w:p>
    <w:p w14:paraId="34000000">
      <w:pPr>
        <w:numPr>
          <w:numId w:val="1"/>
        </w:numPr>
        <w:spacing w:line="228" w:lineRule="auto"/>
        <w:ind w:firstLine="556" w:left="0"/>
        <w:jc w:val="both"/>
        <w:rPr>
          <w:sz w:val="28"/>
        </w:rPr>
      </w:pPr>
      <w:r>
        <w:rPr>
          <w:sz w:val="28"/>
        </w:rPr>
        <w:t>налоговая льгота предоставляется до достижения старшим ребенком возраста 18 лет или возраста 23 лет при условиях его обучения в организации, осуществляющей образовательную деятельность, по очной форме обучения (за исключением организаций дополнительного образования).</w:t>
      </w:r>
    </w:p>
    <w:p w14:paraId="35000000">
      <w:pPr>
        <w:spacing w:before="57" w:line="228" w:lineRule="auto"/>
        <w:ind w:firstLine="711" w:left="0"/>
        <w:jc w:val="both"/>
        <w:rPr>
          <w:sz w:val="28"/>
        </w:rPr>
      </w:pPr>
      <w:r>
        <w:rPr>
          <w:sz w:val="28"/>
        </w:rPr>
        <w:t>5. Уменьшение налоговой базы (налоговый вычет) по земельному налогу производится с учетом положений статьи 391 Налогового кодекса Российской Федерации.</w:t>
      </w:r>
    </w:p>
    <w:p w14:paraId="36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Освобождение от налогообложения земельным налогом (налоговая льгота) предост</w:t>
      </w:r>
      <w:r>
        <w:rPr>
          <w:sz w:val="28"/>
        </w:rPr>
        <w:t>авляется в соответствии со статьей 395 Налогово</w:t>
      </w:r>
      <w:r>
        <w:rPr>
          <w:sz w:val="28"/>
        </w:rPr>
        <w:t>го кодекса Российской Федерации</w:t>
      </w:r>
      <w:r>
        <w:rPr>
          <w:sz w:val="28"/>
        </w:rPr>
        <w:t>».</w:t>
      </w:r>
    </w:p>
    <w:p w14:paraId="37000000">
      <w:pPr>
        <w:tabs>
          <w:tab w:leader="none" w:pos="1085" w:val="left"/>
        </w:tabs>
        <w:spacing w:before="57" w:line="228" w:lineRule="auto"/>
        <w:ind w:firstLine="691" w:left="10"/>
        <w:jc w:val="both"/>
        <w:rPr>
          <w:sz w:val="28"/>
        </w:rPr>
      </w:pPr>
      <w:r>
        <w:rPr>
          <w:sz w:val="28"/>
        </w:rPr>
        <w:t>6. Признать утратившими юридическую силу решения Собрания депутатов Зерноградского городского поселения:</w:t>
      </w:r>
    </w:p>
    <w:p w14:paraId="38000000">
      <w:pPr>
        <w:pStyle w:val="Style_3"/>
        <w:widowControl w:val="1"/>
        <w:spacing w:line="228" w:lineRule="auto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27.11.2023 № 96 «О земельном налоге»;</w:t>
      </w:r>
    </w:p>
    <w:p w14:paraId="39000000">
      <w:pPr>
        <w:pStyle w:val="Style_3"/>
        <w:widowControl w:val="1"/>
        <w:spacing w:before="57" w:line="228" w:lineRule="auto"/>
        <w:ind w:firstLine="708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Настоящее решение вступ</w:t>
      </w:r>
      <w:r>
        <w:rPr>
          <w:rFonts w:ascii="Times New Roman" w:hAnsi="Times New Roman"/>
          <w:b w:val="0"/>
          <w:sz w:val="28"/>
        </w:rPr>
        <w:t>ает в силу по истечении одного месяца со дня его официального опублико</w:t>
      </w:r>
      <w:r>
        <w:rPr>
          <w:rFonts w:ascii="Times New Roman" w:hAnsi="Times New Roman"/>
          <w:b w:val="0"/>
          <w:sz w:val="28"/>
        </w:rPr>
        <w:t>вания, но не ранее 1 января 2025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3A000000">
      <w:pPr>
        <w:spacing w:before="57"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Обнародовать (о</w:t>
      </w:r>
      <w:r>
        <w:rPr>
          <w:sz w:val="28"/>
        </w:rPr>
        <w:t>публиковать</w:t>
      </w:r>
      <w:r>
        <w:rPr>
          <w:sz w:val="28"/>
        </w:rPr>
        <w:t>)</w:t>
      </w:r>
      <w:r>
        <w:rPr>
          <w:sz w:val="28"/>
        </w:rPr>
        <w:t xml:space="preserve"> настоящее решение в газете «Зерноград официальный» и </w:t>
      </w:r>
      <w:r>
        <w:rPr>
          <w:sz w:val="28"/>
        </w:rPr>
        <w:t>разместить</w:t>
      </w:r>
      <w:r>
        <w:rPr>
          <w:sz w:val="28"/>
        </w:rPr>
        <w:t xml:space="preserve"> настоящее решение на официальном сайте Администрации Зерноградского</w:t>
      </w:r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14:paraId="3B000000">
      <w:pPr>
        <w:spacing w:before="57" w:line="228" w:lineRule="auto"/>
        <w:ind w:firstLine="708" w:left="0"/>
        <w:jc w:val="both"/>
        <w:rPr>
          <w:sz w:val="6"/>
        </w:rPr>
      </w:pPr>
    </w:p>
    <w:p w14:paraId="3C000000">
      <w:pPr>
        <w:spacing w:before="57" w:line="228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</w:t>
      </w:r>
      <w:r>
        <w:rPr>
          <w:sz w:val="28"/>
        </w:rPr>
        <w:t>ешения возложить на постоянную комиссию по бюджету, местным налогам, сборам, тарифам, муниципальной собственности и земельным ресурсам (пред</w:t>
      </w:r>
      <w:r>
        <w:rPr>
          <w:sz w:val="28"/>
        </w:rPr>
        <w:t>седатель комиссии Краснова Г.Ф.</w:t>
      </w:r>
      <w:r>
        <w:rPr>
          <w:sz w:val="28"/>
        </w:rPr>
        <w:t>) и Администрацию Зерноградского городского поселения.</w:t>
      </w:r>
    </w:p>
    <w:p w14:paraId="3D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3E000000">
      <w:pPr>
        <w:spacing w:line="228" w:lineRule="auto"/>
        <w:ind/>
        <w:jc w:val="both"/>
        <w:rPr>
          <w:sz w:val="28"/>
        </w:rPr>
      </w:pPr>
    </w:p>
    <w:p w14:paraId="3F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40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>Зерноградского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1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 xml:space="preserve">городского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И.В. Полищук       </w:t>
      </w:r>
    </w:p>
    <w:p w14:paraId="42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</w:p>
    <w:p w14:paraId="43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</w:p>
    <w:p w14:paraId="44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>Председатель Собрания</w:t>
      </w:r>
    </w:p>
    <w:p w14:paraId="45000000">
      <w:pPr>
        <w:tabs>
          <w:tab w:leader="none" w:pos="1669" w:val="left"/>
        </w:tabs>
        <w:spacing w:line="228" w:lineRule="auto"/>
        <w:ind w:right="11"/>
        <w:jc w:val="both"/>
        <w:rPr>
          <w:sz w:val="28"/>
        </w:rPr>
      </w:pPr>
      <w:r>
        <w:rPr>
          <w:sz w:val="28"/>
        </w:rPr>
        <w:t>депутатов – глава Зерноградского</w:t>
      </w:r>
    </w:p>
    <w:p w14:paraId="46000000">
      <w:r>
        <w:rPr>
          <w:sz w:val="28"/>
        </w:rPr>
        <w:t xml:space="preserve">городского поселения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Л.Н. Шаповалова</w:t>
      </w:r>
    </w:p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/>
    <w:p w14:paraId="58000000"/>
    <w:p w14:paraId="59000000"/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sectPr>
      <w:headerReference r:id="rId1" w:type="default"/>
      <w:pgSz w:h="16837" w:orient="portrait" w:w="11905"/>
      <w:pgMar w:bottom="851" w:footer="720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  <w:i w:val="1"/>
        <w:sz w:val="28"/>
      </w:rPr>
    </w:pPr>
    <w:r>
      <w:rPr>
        <w:b w:val="1"/>
        <w:i w:val="1"/>
        <w:sz w:val="28"/>
      </w:rP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Содержимое таблицы"/>
    <w:basedOn w:val="Style_4"/>
    <w:link w:val="Style_7_ch"/>
  </w:style>
  <w:style w:styleId="Style_7_ch" w:type="character">
    <w:name w:val="Содержимое таблицы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List"/>
    <w:basedOn w:val="Style_11"/>
    <w:link w:val="Style_10_ch"/>
    <w:rPr>
      <w:rFonts w:ascii="Arial" w:hAnsi="Arial"/>
    </w:rPr>
  </w:style>
  <w:style w:styleId="Style_10_ch" w:type="character">
    <w:name w:val="List"/>
    <w:basedOn w:val="Style_11_ch"/>
    <w:link w:val="Style_10"/>
    <w:rPr>
      <w:rFonts w:ascii="Arial" w:hAnsi="Arial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Указатель3"/>
    <w:basedOn w:val="Style_4"/>
    <w:link w:val="Style_16_ch"/>
  </w:style>
  <w:style w:styleId="Style_16_ch" w:type="character">
    <w:name w:val="Указатель3"/>
    <w:basedOn w:val="Style_4_ch"/>
    <w:link w:val="Style_16"/>
  </w:style>
  <w:style w:styleId="Style_17" w:type="paragraph">
    <w:name w:val="Основной шрифт абзаца4"/>
    <w:link w:val="Style_17_ch"/>
  </w:style>
  <w:style w:styleId="Style_17_ch" w:type="character">
    <w:name w:val="Основной шрифт абзаца4"/>
    <w:link w:val="Style_17"/>
  </w:style>
  <w:style w:styleId="Style_18" w:type="paragraph">
    <w:name w:val="Заголовок таблицы"/>
    <w:basedOn w:val="Style_7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7_ch"/>
    <w:link w:val="Style_18"/>
    <w:rPr>
      <w:b w:val="1"/>
    </w:rPr>
  </w:style>
  <w:style w:styleId="Style_19" w:type="paragraph">
    <w:name w:val="Absatz-Standardschriftart"/>
    <w:link w:val="Style_19_ch"/>
  </w:style>
  <w:style w:styleId="Style_19_ch" w:type="character">
    <w:name w:val="Absatz-Standardschriftart"/>
    <w:link w:val="Style_19"/>
  </w:style>
  <w:style w:styleId="Style_20" w:type="paragraph">
    <w:name w:val="Название3"/>
    <w:basedOn w:val="Style_4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3"/>
    <w:basedOn w:val="Style_4_ch"/>
    <w:link w:val="Style_20"/>
    <w:rPr>
      <w:i w:val="1"/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Название2"/>
    <w:basedOn w:val="Style_4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2"/>
    <w:basedOn w:val="Style_4_ch"/>
    <w:link w:val="Style_22"/>
    <w:rPr>
      <w:i w:val="1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1" w:type="paragraph">
    <w:name w:val="Body Text"/>
    <w:basedOn w:val="Style_4"/>
    <w:link w:val="Style_11_ch"/>
    <w:pPr>
      <w:spacing w:after="120"/>
      <w:ind/>
    </w:pPr>
  </w:style>
  <w:style w:styleId="Style_11_ch" w:type="character">
    <w:name w:val="Body Text"/>
    <w:basedOn w:val="Style_4_ch"/>
    <w:link w:val="Style_11"/>
  </w:style>
  <w:style w:styleId="Style_23" w:type="paragraph">
    <w:name w:val="WW-Absatz-Standardschriftart"/>
    <w:link w:val="Style_23_ch"/>
  </w:style>
  <w:style w:styleId="Style_23_ch" w:type="character">
    <w:name w:val="WW-Absatz-Standardschriftart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Маркеры списка"/>
    <w:link w:val="Style_34_ch"/>
    <w:rPr>
      <w:rFonts w:ascii="StarSymbol" w:hAnsi="StarSymbol"/>
      <w:sz w:val="18"/>
    </w:rPr>
  </w:style>
  <w:style w:styleId="Style_34_ch" w:type="character">
    <w:name w:val="Маркеры списка"/>
    <w:link w:val="Style_34"/>
    <w:rPr>
      <w:rFonts w:ascii="StarSymbol" w:hAnsi="StarSymbol"/>
      <w:sz w:val="18"/>
    </w:rPr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Название4"/>
    <w:basedOn w:val="Style_4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4"/>
    <w:basedOn w:val="Style_4_ch"/>
    <w:link w:val="Style_36"/>
    <w:rPr>
      <w:i w:val="1"/>
      <w:sz w:val="24"/>
    </w:rPr>
  </w:style>
  <w:style w:styleId="Style_37" w:type="paragraph">
    <w:name w:val="Указатель2"/>
    <w:basedOn w:val="Style_4"/>
    <w:link w:val="Style_37_ch"/>
  </w:style>
  <w:style w:styleId="Style_37_ch" w:type="character">
    <w:name w:val="Указатель2"/>
    <w:basedOn w:val="Style_4_ch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Гиперссылка1"/>
    <w:link w:val="Style_39_ch"/>
    <w:rPr>
      <w:color w:val="000080"/>
      <w:u w:val="single"/>
    </w:rPr>
  </w:style>
  <w:style w:styleId="Style_39_ch" w:type="character">
    <w:name w:val="Гиперссылка1"/>
    <w:link w:val="Style_39"/>
    <w:rPr>
      <w:color w:val="000080"/>
      <w:u w:val="single"/>
    </w:rPr>
  </w:style>
  <w:style w:styleId="Style_40" w:type="paragraph">
    <w:name w:val="toc 5"/>
    <w:next w:val="Style_4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footer"/>
    <w:basedOn w:val="Style_4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4_ch"/>
    <w:link w:val="Style_41"/>
  </w:style>
  <w:style w:styleId="Style_42" w:type="paragraph">
    <w:name w:val="Указатель1"/>
    <w:basedOn w:val="Style_4"/>
    <w:link w:val="Style_42_ch"/>
    <w:rPr>
      <w:rFonts w:ascii="Arial" w:hAnsi="Arial"/>
    </w:rPr>
  </w:style>
  <w:style w:styleId="Style_42_ch" w:type="character">
    <w:name w:val="Указатель1"/>
    <w:basedOn w:val="Style_4_ch"/>
    <w:link w:val="Style_42"/>
    <w:rPr>
      <w:rFonts w:ascii="Arial" w:hAnsi="Arial"/>
    </w:rPr>
  </w:style>
  <w:style w:styleId="Style_43" w:type="paragraph">
    <w:name w:val="WW8Num2z0"/>
    <w:link w:val="Style_43_ch"/>
  </w:style>
  <w:style w:styleId="Style_43_ch" w:type="character">
    <w:name w:val="WW8Num2z0"/>
    <w:link w:val="Style_43"/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Название1"/>
    <w:basedOn w:val="Style_4"/>
    <w:link w:val="Style_46_ch"/>
    <w:pPr>
      <w:spacing w:after="120" w:before="120"/>
      <w:ind/>
    </w:pPr>
    <w:rPr>
      <w:rFonts w:ascii="Arial" w:hAnsi="Arial"/>
      <w:i w:val="1"/>
    </w:rPr>
  </w:style>
  <w:style w:styleId="Style_46_ch" w:type="character">
    <w:name w:val="Название1"/>
    <w:basedOn w:val="Style_4_ch"/>
    <w:link w:val="Style_46"/>
    <w:rPr>
      <w:rFonts w:ascii="Arial" w:hAnsi="Arial"/>
      <w:i w:val="1"/>
    </w:rPr>
  </w:style>
  <w:style w:styleId="Style_47" w:type="paragraph">
    <w:name w:val="WW8NumSt1z0"/>
    <w:link w:val="Style_47_ch"/>
  </w:style>
  <w:style w:styleId="Style_47_ch" w:type="character">
    <w:name w:val="WW8NumSt1z0"/>
    <w:link w:val="Style_47"/>
  </w:style>
  <w:style w:styleId="Style_48" w:type="paragraph">
    <w:name w:val="Title"/>
    <w:basedOn w:val="Style_4"/>
    <w:next w:val="Style_11"/>
    <w:link w:val="Style_4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8_ch" w:type="character">
    <w:name w:val="Title"/>
    <w:basedOn w:val="Style_4_ch"/>
    <w:link w:val="Style_48"/>
    <w:rPr>
      <w:rFonts w:ascii="Arial" w:hAnsi="Arial"/>
      <w:sz w:val="28"/>
    </w:rPr>
  </w:style>
  <w:style w:styleId="Style_49" w:type="paragraph">
    <w:name w:val="Указатель4"/>
    <w:basedOn w:val="Style_4"/>
    <w:link w:val="Style_49_ch"/>
  </w:style>
  <w:style w:styleId="Style_49_ch" w:type="character">
    <w:name w:val="Указатель4"/>
    <w:basedOn w:val="Style_4_ch"/>
    <w:link w:val="Style_49"/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52" w:type="paragraph">
    <w:name w:val="Normal (Web)"/>
    <w:basedOn w:val="Style_4"/>
    <w:link w:val="Style_52_ch"/>
    <w:rPr>
      <w:sz w:val="24"/>
    </w:rPr>
  </w:style>
  <w:style w:styleId="Style_52_ch" w:type="character">
    <w:name w:val="Normal (Web)"/>
    <w:basedOn w:val="Style_4_ch"/>
    <w:link w:val="Style_52"/>
    <w:rPr>
      <w:sz w:val="24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Адресат"/>
    <w:basedOn w:val="Style_4"/>
    <w:link w:val="Style_54_ch"/>
    <w:pPr>
      <w:widowControl w:val="1"/>
      <w:ind/>
    </w:pPr>
  </w:style>
  <w:style w:styleId="Style_54_ch" w:type="character">
    <w:name w:val="Адресат"/>
    <w:basedOn w:val="Style_4_ch"/>
    <w:link w:val="Style_54"/>
  </w:style>
  <w:style w:styleId="Style_55" w:type="table">
    <w:name w:val="Table Grid"/>
    <w:basedOn w:val="Style_5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2024-10-09T10:05:49Z</dcterms:modified>
</cp:coreProperties>
</file>