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41192">
        <w:rPr>
          <w:rFonts w:eastAsia="Arial"/>
          <w:b/>
          <w:bCs/>
          <w:sz w:val="28"/>
          <w:szCs w:val="28"/>
          <w:lang w:eastAsia="ar-SA"/>
        </w:rPr>
        <w:t>85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D41192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28.08.2018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105D75">
        <w:rPr>
          <w:sz w:val="28"/>
          <w:szCs w:val="28"/>
        </w:rPr>
        <w:t>15</w:t>
      </w:r>
      <w:r w:rsidR="00B869AC">
        <w:rPr>
          <w:sz w:val="28"/>
          <w:szCs w:val="28"/>
        </w:rPr>
        <w:t>.0</w:t>
      </w:r>
      <w:r w:rsidR="00105D75">
        <w:rPr>
          <w:sz w:val="28"/>
          <w:szCs w:val="28"/>
        </w:rPr>
        <w:t>6</w:t>
      </w:r>
      <w:r w:rsidR="00B869AC">
        <w:rPr>
          <w:sz w:val="28"/>
          <w:szCs w:val="28"/>
        </w:rPr>
        <w:t>.201</w:t>
      </w:r>
      <w:r w:rsidR="00E0220B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№ </w:t>
      </w:r>
      <w:r w:rsidR="00105D75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105D75" w:rsidRPr="00FD2A9B" w:rsidRDefault="00B869AC" w:rsidP="00105D75">
      <w:pPr>
        <w:ind w:right="-30" w:firstLine="567"/>
        <w:jc w:val="both"/>
        <w:rPr>
          <w:sz w:val="27"/>
          <w:szCs w:val="27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105D75" w:rsidRPr="00105D75">
        <w:rPr>
          <w:sz w:val="28"/>
          <w:szCs w:val="28"/>
        </w:rPr>
        <w:t>дополни</w:t>
      </w:r>
      <w:r w:rsidR="00105D75">
        <w:rPr>
          <w:sz w:val="28"/>
          <w:szCs w:val="28"/>
        </w:rPr>
        <w:t>ть</w:t>
      </w:r>
      <w:r w:rsidR="00105D75" w:rsidRPr="00105D75">
        <w:rPr>
          <w:sz w:val="28"/>
          <w:szCs w:val="28"/>
        </w:rPr>
        <w:t xml:space="preserve"> стать</w:t>
      </w:r>
      <w:r w:rsidR="00105D75">
        <w:rPr>
          <w:sz w:val="28"/>
          <w:szCs w:val="28"/>
        </w:rPr>
        <w:t>ю</w:t>
      </w:r>
      <w:r w:rsidR="00105D75" w:rsidRPr="00105D75">
        <w:rPr>
          <w:sz w:val="28"/>
          <w:szCs w:val="28"/>
        </w:rPr>
        <w:t xml:space="preserve"> 29 Градостроительного регламента территориальной производственно-коммерческой зоны (ПК) строкой в основных видах разрешенного использования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105D75" w:rsidRPr="006C78D3" w:rsidTr="00221707">
        <w:trPr>
          <w:trHeight w:val="758"/>
        </w:trPr>
        <w:tc>
          <w:tcPr>
            <w:tcW w:w="567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 xml:space="preserve">Размещаемые </w:t>
            </w:r>
          </w:p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5D75" w:rsidRPr="009A19F0" w:rsidTr="00221707">
        <w:trPr>
          <w:trHeight w:val="333"/>
        </w:trPr>
        <w:tc>
          <w:tcPr>
            <w:tcW w:w="10206" w:type="dxa"/>
            <w:gridSpan w:val="4"/>
            <w:vAlign w:val="center"/>
          </w:tcPr>
          <w:p w:rsidR="00105D75" w:rsidRPr="009A19F0" w:rsidRDefault="00105D75" w:rsidP="00221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105D75" w:rsidRPr="0008029E" w:rsidTr="00221707">
        <w:trPr>
          <w:trHeight w:val="758"/>
        </w:trPr>
        <w:tc>
          <w:tcPr>
            <w:tcW w:w="567" w:type="dxa"/>
          </w:tcPr>
          <w:p w:rsidR="00105D75" w:rsidRPr="00105D75" w:rsidRDefault="00105D75" w:rsidP="00221707">
            <w:pPr>
              <w:ind w:right="1"/>
              <w:jc w:val="center"/>
              <w:rPr>
                <w:szCs w:val="24"/>
              </w:rPr>
            </w:pPr>
          </w:p>
          <w:p w:rsidR="00105D75" w:rsidRPr="00105D75" w:rsidRDefault="00105D75" w:rsidP="00221707">
            <w:pPr>
              <w:ind w:right="1"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21.</w:t>
            </w:r>
          </w:p>
        </w:tc>
        <w:tc>
          <w:tcPr>
            <w:tcW w:w="1985" w:type="dxa"/>
          </w:tcPr>
          <w:p w:rsidR="00105D75" w:rsidRPr="00105D75" w:rsidRDefault="00105D75" w:rsidP="00221707">
            <w:pPr>
              <w:tabs>
                <w:tab w:val="left" w:pos="720"/>
              </w:tabs>
              <w:contextualSpacing/>
              <w:rPr>
                <w:szCs w:val="24"/>
              </w:rPr>
            </w:pPr>
          </w:p>
          <w:p w:rsidR="00105D75" w:rsidRPr="00105D75" w:rsidRDefault="00105D75" w:rsidP="00221707">
            <w:pPr>
              <w:tabs>
                <w:tab w:val="left" w:pos="720"/>
              </w:tabs>
              <w:contextualSpacing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Хранение личного автомобильного транспорта</w:t>
            </w:r>
          </w:p>
          <w:p w:rsidR="00105D75" w:rsidRPr="00105D75" w:rsidRDefault="00105D75" w:rsidP="00221707">
            <w:pPr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105D75" w:rsidRPr="00105D75" w:rsidRDefault="00105D75" w:rsidP="00221707">
            <w:pPr>
              <w:contextualSpacing/>
              <w:rPr>
                <w:szCs w:val="24"/>
              </w:rPr>
            </w:pPr>
          </w:p>
          <w:p w:rsidR="00105D75" w:rsidRPr="00105D75" w:rsidRDefault="00105D75" w:rsidP="00221707">
            <w:pPr>
              <w:contextualSpacing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Постоянные и временные гаражи на одно или несколько стояночных мест</w:t>
            </w:r>
          </w:p>
        </w:tc>
        <w:tc>
          <w:tcPr>
            <w:tcW w:w="5528" w:type="dxa"/>
          </w:tcPr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iCs/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05D75">
              <w:rPr>
                <w:szCs w:val="24"/>
              </w:rPr>
              <w:t>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iCs/>
                <w:szCs w:val="24"/>
              </w:rPr>
              <w:t>Предельная высота зданий, строений, сооружений – не нормируется.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Максимальное количество этажей – 2.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Минимальное количество этажей – 1.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 xml:space="preserve">Максимальный процент застройки – </w:t>
            </w:r>
            <w:r w:rsidRPr="00105D75">
              <w:rPr>
                <w:b/>
                <w:szCs w:val="24"/>
              </w:rPr>
              <w:t>80%</w:t>
            </w:r>
            <w:r w:rsidRPr="00105D75">
              <w:rPr>
                <w:szCs w:val="24"/>
              </w:rPr>
              <w:t>.</w:t>
            </w:r>
          </w:p>
        </w:tc>
      </w:tr>
    </w:tbl>
    <w:p w:rsidR="00B869AC" w:rsidRPr="00105D75" w:rsidRDefault="00105D75" w:rsidP="00105D75">
      <w:pPr>
        <w:spacing w:after="0" w:line="240" w:lineRule="auto"/>
        <w:ind w:right="-28" w:firstLine="567"/>
        <w:jc w:val="both"/>
        <w:rPr>
          <w:rFonts w:eastAsia="Arial"/>
          <w:sz w:val="28"/>
          <w:szCs w:val="28"/>
          <w:lang w:eastAsia="ar-SA"/>
        </w:rPr>
      </w:pPr>
      <w:r w:rsidRPr="00105D75">
        <w:rPr>
          <w:sz w:val="28"/>
          <w:szCs w:val="28"/>
        </w:rPr>
        <w:t>с целью оформления земельных участков под зданиями гаражей личного пользования.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D41192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4B4B2E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 Администрации</w:t>
      </w:r>
      <w:bookmarkStart w:id="0" w:name="_GoBack"/>
      <w:bookmarkEnd w:id="0"/>
      <w:r w:rsidR="004B4B2E"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r w:rsidR="00D41192">
        <w:rPr>
          <w:sz w:val="28"/>
          <w:szCs w:val="28"/>
          <w:lang w:eastAsia="ar-SA"/>
        </w:rPr>
        <w:t>П.Е. Синельников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05D75"/>
    <w:rsid w:val="00123F06"/>
    <w:rsid w:val="003D2D95"/>
    <w:rsid w:val="004B4B2E"/>
    <w:rsid w:val="00515BFB"/>
    <w:rsid w:val="00652EB7"/>
    <w:rsid w:val="00956148"/>
    <w:rsid w:val="00B869AC"/>
    <w:rsid w:val="00D41192"/>
    <w:rsid w:val="00E0220B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244"/>
  <w15:docId w15:val="{82568708-3650-4E43-A886-C28DE77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Gukova</cp:lastModifiedBy>
  <cp:revision>9</cp:revision>
  <cp:lastPrinted>2018-07-02T06:41:00Z</cp:lastPrinted>
  <dcterms:created xsi:type="dcterms:W3CDTF">2017-03-31T07:13:00Z</dcterms:created>
  <dcterms:modified xsi:type="dcterms:W3CDTF">2018-08-29T06:37:00Z</dcterms:modified>
</cp:coreProperties>
</file>