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E0220B">
        <w:rPr>
          <w:sz w:val="28"/>
          <w:szCs w:val="28"/>
        </w:rPr>
        <w:t>27</w:t>
      </w:r>
      <w:r w:rsidR="00B869AC">
        <w:rPr>
          <w:sz w:val="28"/>
          <w:szCs w:val="28"/>
        </w:rPr>
        <w:t>.0</w:t>
      </w:r>
      <w:r w:rsidR="00E0220B">
        <w:rPr>
          <w:sz w:val="28"/>
          <w:szCs w:val="28"/>
        </w:rPr>
        <w:t>3</w:t>
      </w:r>
      <w:r w:rsidR="00B869AC">
        <w:rPr>
          <w:sz w:val="28"/>
          <w:szCs w:val="28"/>
        </w:rPr>
        <w:t>.201</w:t>
      </w:r>
      <w:r w:rsidR="00E0220B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№ </w:t>
      </w:r>
      <w:r w:rsidR="00E0220B">
        <w:rPr>
          <w:sz w:val="28"/>
          <w:szCs w:val="28"/>
        </w:rPr>
        <w:t>2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proofErr w:type="gramEnd"/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E0220B" w:rsidRDefault="00B869AC" w:rsidP="00E0220B">
      <w:pPr>
        <w:ind w:right="-30" w:firstLine="567"/>
        <w:jc w:val="both"/>
        <w:rPr>
          <w:sz w:val="26"/>
          <w:szCs w:val="26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E0220B" w:rsidRPr="00E0220B">
        <w:rPr>
          <w:sz w:val="28"/>
          <w:szCs w:val="28"/>
        </w:rPr>
        <w:t>дополн</w:t>
      </w:r>
      <w:r w:rsidR="00E0220B">
        <w:rPr>
          <w:sz w:val="28"/>
          <w:szCs w:val="28"/>
        </w:rPr>
        <w:t>ить</w:t>
      </w:r>
      <w:r w:rsidR="00E0220B" w:rsidRPr="00E0220B">
        <w:rPr>
          <w:sz w:val="28"/>
          <w:szCs w:val="28"/>
        </w:rPr>
        <w:t xml:space="preserve"> стать</w:t>
      </w:r>
      <w:r w:rsidR="00E0220B">
        <w:rPr>
          <w:sz w:val="28"/>
          <w:szCs w:val="28"/>
        </w:rPr>
        <w:t>ю</w:t>
      </w:r>
      <w:r w:rsidR="00E0220B" w:rsidRPr="00E0220B">
        <w:rPr>
          <w:sz w:val="28"/>
          <w:szCs w:val="28"/>
        </w:rPr>
        <w:t xml:space="preserve"> 32 Градостроительного регламента территориальной зоны транспортной инфраструктуры (</w:t>
      </w:r>
      <w:proofErr w:type="gramStart"/>
      <w:r w:rsidR="00E0220B" w:rsidRPr="00E0220B">
        <w:rPr>
          <w:sz w:val="28"/>
          <w:szCs w:val="28"/>
        </w:rPr>
        <w:t>ИТ</w:t>
      </w:r>
      <w:proofErr w:type="gramEnd"/>
      <w:r w:rsidR="00E0220B" w:rsidRPr="00E0220B">
        <w:rPr>
          <w:sz w:val="28"/>
          <w:szCs w:val="28"/>
        </w:rPr>
        <w:t>/01/03) строкой в вспомогательных видах разрешенного использования</w:t>
      </w:r>
    </w:p>
    <w:p w:rsidR="00E0220B" w:rsidRPr="0074075A" w:rsidRDefault="00E0220B" w:rsidP="00E0220B">
      <w:pPr>
        <w:ind w:right="-30" w:firstLine="567"/>
        <w:jc w:val="both"/>
        <w:rPr>
          <w:sz w:val="14"/>
          <w:szCs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E0220B" w:rsidRPr="006C78D3" w:rsidTr="005F5BAA">
        <w:trPr>
          <w:trHeight w:val="758"/>
        </w:trPr>
        <w:tc>
          <w:tcPr>
            <w:tcW w:w="567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0220B" w:rsidRPr="009A19F0" w:rsidTr="005F5BAA">
        <w:trPr>
          <w:trHeight w:val="333"/>
        </w:trPr>
        <w:tc>
          <w:tcPr>
            <w:tcW w:w="10206" w:type="dxa"/>
            <w:gridSpan w:val="4"/>
            <w:vAlign w:val="center"/>
          </w:tcPr>
          <w:p w:rsidR="00E0220B" w:rsidRPr="009A19F0" w:rsidRDefault="00E0220B" w:rsidP="005F5B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Вспомогатель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E0220B" w:rsidRPr="0008029E" w:rsidTr="005F5BAA">
        <w:trPr>
          <w:trHeight w:val="758"/>
        </w:trPr>
        <w:tc>
          <w:tcPr>
            <w:tcW w:w="567" w:type="dxa"/>
          </w:tcPr>
          <w:p w:rsidR="00E0220B" w:rsidRDefault="00E0220B" w:rsidP="005F5BAA">
            <w:pPr>
              <w:ind w:right="1"/>
              <w:jc w:val="center"/>
              <w:rPr>
                <w:sz w:val="23"/>
                <w:szCs w:val="23"/>
              </w:rPr>
            </w:pPr>
          </w:p>
          <w:p w:rsidR="00E0220B" w:rsidRPr="0008029E" w:rsidRDefault="00E0220B" w:rsidP="005F5BAA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985" w:type="dxa"/>
          </w:tcPr>
          <w:p w:rsidR="00E0220B" w:rsidRDefault="00E0220B" w:rsidP="005F5BAA">
            <w:pPr>
              <w:tabs>
                <w:tab w:val="left" w:pos="720"/>
              </w:tabs>
              <w:contextualSpacing/>
            </w:pPr>
          </w:p>
          <w:p w:rsidR="00E0220B" w:rsidRPr="0018682A" w:rsidRDefault="00E0220B" w:rsidP="005F5BAA">
            <w:pPr>
              <w:tabs>
                <w:tab w:val="left" w:pos="720"/>
              </w:tabs>
              <w:contextualSpacing/>
              <w:jc w:val="center"/>
            </w:pPr>
            <w:r w:rsidRPr="0018682A">
              <w:t>Коммунальное обслуживание</w:t>
            </w:r>
          </w:p>
          <w:p w:rsidR="00E0220B" w:rsidRPr="0018682A" w:rsidRDefault="00E0220B" w:rsidP="005F5BAA">
            <w:pPr>
              <w:contextualSpacing/>
            </w:pPr>
          </w:p>
        </w:tc>
        <w:tc>
          <w:tcPr>
            <w:tcW w:w="2126" w:type="dxa"/>
          </w:tcPr>
          <w:p w:rsidR="00E0220B" w:rsidRDefault="00E0220B" w:rsidP="005F5BAA">
            <w:pPr>
              <w:contextualSpacing/>
            </w:pPr>
          </w:p>
          <w:p w:rsidR="00E0220B" w:rsidRPr="0018682A" w:rsidRDefault="00E0220B" w:rsidP="005F5BAA">
            <w:pPr>
              <w:contextualSpacing/>
              <w:jc w:val="center"/>
            </w:pPr>
            <w:r>
              <w:t>Пункт обмена газобаллонного оборудования (газовых баллонов)</w:t>
            </w:r>
          </w:p>
        </w:tc>
        <w:tc>
          <w:tcPr>
            <w:tcW w:w="5528" w:type="dxa"/>
          </w:tcPr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Предельное количество этажей или предельная высота зданий, строений, сооружений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18682A" w:rsidRDefault="00E0220B" w:rsidP="005F5BA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DC4D21">
              <w:rPr>
                <w:iCs/>
                <w:sz w:val="22"/>
              </w:rPr>
              <w:t>Максимальный процент застройки – не нормируется</w:t>
            </w:r>
            <w:r w:rsidRPr="00DC4D21">
              <w:rPr>
                <w:sz w:val="22"/>
              </w:rPr>
              <w:t>.</w:t>
            </w:r>
          </w:p>
        </w:tc>
      </w:tr>
    </w:tbl>
    <w:p w:rsidR="00B869AC" w:rsidRPr="00E0220B" w:rsidRDefault="00E0220B" w:rsidP="00E0220B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E0220B">
        <w:rPr>
          <w:sz w:val="28"/>
          <w:szCs w:val="28"/>
        </w:rPr>
        <w:t xml:space="preserve">с целью открытия Пункта по обмену газобаллонного оборудования на территории АГЗС, расположенной на земельном участке с кадастровым номером 61:12:0040108:27, с видом разрешенного использования: «для автомобильной газозаправочной станции», по адресу: </w:t>
      </w:r>
      <w:r>
        <w:rPr>
          <w:sz w:val="28"/>
          <w:szCs w:val="28"/>
        </w:rPr>
        <w:t>г</w:t>
      </w:r>
      <w:bookmarkStart w:id="0" w:name="_GoBack"/>
      <w:bookmarkEnd w:id="0"/>
      <w:r w:rsidRPr="00E0220B">
        <w:rPr>
          <w:sz w:val="28"/>
          <w:szCs w:val="28"/>
        </w:rPr>
        <w:t xml:space="preserve">. Зерноград, ул. </w:t>
      </w:r>
      <w:proofErr w:type="gramStart"/>
      <w:r w:rsidRPr="00E0220B">
        <w:rPr>
          <w:sz w:val="28"/>
          <w:szCs w:val="28"/>
        </w:rPr>
        <w:t>Садовая</w:t>
      </w:r>
      <w:proofErr w:type="gramEnd"/>
      <w:r w:rsidRPr="00E0220B">
        <w:rPr>
          <w:sz w:val="28"/>
          <w:szCs w:val="28"/>
        </w:rPr>
        <w:t>, 45, для обслуживания нужд населения по обмену газовых баллонов.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7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23F06"/>
    <w:rsid w:val="003D2D95"/>
    <w:rsid w:val="004B4B2E"/>
    <w:rsid w:val="00515BFB"/>
    <w:rsid w:val="00652EB7"/>
    <w:rsid w:val="00B869AC"/>
    <w:rsid w:val="00E0220B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6</cp:revision>
  <cp:lastPrinted>2018-04-09T12:00:00Z</cp:lastPrinted>
  <dcterms:created xsi:type="dcterms:W3CDTF">2017-03-31T07:13:00Z</dcterms:created>
  <dcterms:modified xsi:type="dcterms:W3CDTF">2018-04-09T12:00:00Z</dcterms:modified>
</cp:coreProperties>
</file>